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241" w:rsidRDefault="005A0BDB" w:rsidP="00557C6C">
      <w:pPr>
        <w:pStyle w:val="PublicationTitle"/>
      </w:pPr>
      <w:bookmarkStart w:id="0" w:name="_GoBack"/>
      <w:bookmarkEnd w:id="0"/>
      <w:r w:rsidRPr="005A0BDB">
        <w:t xml:space="preserve">Remote </w:t>
      </w:r>
      <w:r w:rsidR="00B14B00" w:rsidRPr="005A0BDB">
        <w:t>transport e</w:t>
      </w:r>
      <w:r w:rsidRPr="005A0BDB">
        <w:t xml:space="preserve">fficiency - </w:t>
      </w:r>
      <w:r w:rsidR="00B14B00" w:rsidRPr="005A0BDB">
        <w:t xml:space="preserve">a </w:t>
      </w:r>
      <w:r w:rsidRPr="005A0BDB">
        <w:t>case study from Central Australia</w:t>
      </w:r>
    </w:p>
    <w:p w:rsidR="00F00241" w:rsidRPr="00DA3320" w:rsidRDefault="005A0BDB" w:rsidP="00F00241">
      <w:pPr>
        <w:pStyle w:val="AuthorName"/>
        <w:rPr>
          <w:vertAlign w:val="superscript"/>
        </w:rPr>
      </w:pPr>
      <w:r w:rsidRPr="00DA3320">
        <w:t>Gillian Akers</w:t>
      </w:r>
      <w:r w:rsidR="007F752C" w:rsidRPr="00DA3320">
        <w:rPr>
          <w:vertAlign w:val="superscript"/>
        </w:rPr>
        <w:t>1</w:t>
      </w:r>
      <w:r w:rsidR="00CD5D10" w:rsidRPr="00DA3320">
        <w:t xml:space="preserve">, </w:t>
      </w:r>
      <w:r w:rsidRPr="00DA3320">
        <w:t>Nigel Graves</w:t>
      </w:r>
      <w:r w:rsidR="00F00241" w:rsidRPr="00DA3320">
        <w:rPr>
          <w:vertAlign w:val="superscript"/>
        </w:rPr>
        <w:t>2</w:t>
      </w:r>
    </w:p>
    <w:p w:rsidR="00DA3320" w:rsidRPr="00DA3320" w:rsidRDefault="00F00241" w:rsidP="001A5FC9">
      <w:pPr>
        <w:pStyle w:val="AuthorAddress"/>
      </w:pPr>
      <w:r w:rsidRPr="00DA3320">
        <w:rPr>
          <w:vertAlign w:val="superscript"/>
        </w:rPr>
        <w:t>1</w:t>
      </w:r>
      <w:r w:rsidR="005A0BDB" w:rsidRPr="00DA3320">
        <w:t xml:space="preserve">Director AkersConsult, </w:t>
      </w:r>
      <w:r w:rsidRPr="00DA3320">
        <w:rPr>
          <w:vertAlign w:val="superscript"/>
        </w:rPr>
        <w:t>2</w:t>
      </w:r>
      <w:r w:rsidR="005A0BDB" w:rsidRPr="00DA3320">
        <w:t>General Manger Central Land Council</w:t>
      </w:r>
    </w:p>
    <w:p w:rsidR="001A5FC9" w:rsidRDefault="00C21069" w:rsidP="001A5FC9">
      <w:pPr>
        <w:pStyle w:val="AuthorAddress"/>
      </w:pPr>
      <w:r w:rsidRPr="00DA3320">
        <w:t xml:space="preserve">Email </w:t>
      </w:r>
      <w:r w:rsidR="00CD5D10" w:rsidRPr="00DA3320">
        <w:t>for correspondence</w:t>
      </w:r>
      <w:r w:rsidR="00F00241" w:rsidRPr="00DA3320">
        <w:t xml:space="preserve">: </w:t>
      </w:r>
      <w:r w:rsidR="005A0BDB" w:rsidRPr="00DA3320">
        <w:t>gillian@akersconsult.com.au</w:t>
      </w:r>
    </w:p>
    <w:p w:rsidR="00F00241" w:rsidRPr="00312191" w:rsidRDefault="00F00241" w:rsidP="00557C6C">
      <w:pPr>
        <w:pStyle w:val="AbstractTitle"/>
      </w:pPr>
      <w:r w:rsidRPr="00E855E5">
        <w:t>Abstract</w:t>
      </w:r>
    </w:p>
    <w:p w:rsidR="005A0BDB" w:rsidRDefault="005A0BDB" w:rsidP="005A0BDB">
      <w:r>
        <w:t>The Central Land Council (CLC) is a Council of 90 Aboriginal people elected from communities in the southern half of the Northern Territory - an area of 776,549 square kilometres, of which traditional Aboriginal landowners own 407,985 square kilometres of Aboriginal freehold land under the Aboriginal Land Rights Act.</w:t>
      </w:r>
    </w:p>
    <w:p w:rsidR="005A0BDB" w:rsidRDefault="005A0BDB" w:rsidP="005A0BDB">
      <w:r>
        <w:t>CLC provides a wide range of services for the benefit of traditional owners and other Aboriginal residents of the CLC region, delivered by a staff of over 2</w:t>
      </w:r>
      <w:r w:rsidR="00E81972">
        <w:t>3</w:t>
      </w:r>
      <w:r>
        <w:t>0, based largely in Alice Springs but with significant presence in regional offices</w:t>
      </w:r>
      <w:r w:rsidR="00C01D94">
        <w:t xml:space="preserve">. </w:t>
      </w:r>
      <w:r>
        <w:t>A major component of CLC’s work involves travel over long distances in remote country and often involves transport of Aboriginal residents between multiple locations</w:t>
      </w:r>
      <w:r w:rsidR="00C01D94">
        <w:t xml:space="preserve">. </w:t>
      </w:r>
      <w:r>
        <w:t>CLC owned and operated a vehicle fleet of over 10</w:t>
      </w:r>
      <w:r w:rsidR="00E81972">
        <w:t>5</w:t>
      </w:r>
      <w:r>
        <w:t xml:space="preserve"> passenger </w:t>
      </w:r>
      <w:r w:rsidR="00E81972">
        <w:t xml:space="preserve">and other registered </w:t>
      </w:r>
      <w:r>
        <w:t>vehicles and was seeking a review of transportation needs to achieve cost-saving efficiencies, to improve safety and to ensure compliance with recent regulatory changes</w:t>
      </w:r>
      <w:r w:rsidR="00C01D94">
        <w:t xml:space="preserve">. </w:t>
      </w:r>
    </w:p>
    <w:p w:rsidR="005A0BDB" w:rsidRPr="005A0BDB" w:rsidRDefault="005A0BDB" w:rsidP="00DA3320">
      <w:r>
        <w:t>Because of the unique and complex nature of CLC’s transport task, the review was conducted from first principles</w:t>
      </w:r>
      <w:r w:rsidR="00C01D94">
        <w:t xml:space="preserve">. </w:t>
      </w:r>
      <w:r>
        <w:t>It followed “simple” transport planning principles</w:t>
      </w:r>
      <w:r w:rsidR="00DA3320">
        <w:t xml:space="preserve"> of relating the travel market to its transport needs</w:t>
      </w:r>
    </w:p>
    <w:p w:rsidR="005A0BDB" w:rsidRDefault="005A0BDB" w:rsidP="005A0BDB">
      <w:r>
        <w:t>This paper describes the review process, with emphasis on the interaction of multiple data sources</w:t>
      </w:r>
      <w:r w:rsidR="00C01D94">
        <w:t xml:space="preserve">. </w:t>
      </w:r>
      <w:r>
        <w:t>It demonstrates significant cost savings able to be achieved by an integrated mix of measures while still supporting all CLC activities</w:t>
      </w:r>
      <w:r w:rsidR="00C01D94">
        <w:t xml:space="preserve">. </w:t>
      </w:r>
    </w:p>
    <w:p w:rsidR="00F00241" w:rsidRDefault="00F2676F" w:rsidP="00557C6C">
      <w:pPr>
        <w:pStyle w:val="SectionHeadingLevel1"/>
      </w:pPr>
      <w:r w:rsidRPr="00F2676F">
        <w:t>1</w:t>
      </w:r>
      <w:r w:rsidR="00A67925">
        <w:t>.</w:t>
      </w:r>
      <w:r w:rsidR="005327E9">
        <w:t xml:space="preserve"> </w:t>
      </w:r>
      <w:r w:rsidR="00997BA4">
        <w:t>Introduction</w:t>
      </w:r>
    </w:p>
    <w:p w:rsidR="00751E79" w:rsidRPr="00751E79" w:rsidRDefault="00E81972" w:rsidP="00751E79">
      <w:pPr>
        <w:rPr>
          <w:i/>
        </w:rPr>
      </w:pPr>
      <w:r>
        <w:t xml:space="preserve">CLC </w:t>
      </w:r>
      <w:r w:rsidR="00C10EDC">
        <w:t>commissioned</w:t>
      </w:r>
      <w:r w:rsidR="00751E79">
        <w:t xml:space="preserve"> a transportation study in early </w:t>
      </w:r>
      <w:r w:rsidR="00C10EDC">
        <w:t>2013</w:t>
      </w:r>
      <w:r w:rsidR="00C01D94">
        <w:t xml:space="preserve">. </w:t>
      </w:r>
      <w:r w:rsidR="00751E79">
        <w:t xml:space="preserve">The need for the study was based on the CLC Enterprise Agreement 2012-2105 a condition of which was that </w:t>
      </w:r>
      <w:r w:rsidR="00751E79" w:rsidRPr="00751E79">
        <w:rPr>
          <w:i/>
        </w:rPr>
        <w:t>“..during this agreement the CLC will, with employee participation, complete a transportation study with a view to implementing efficiencies that may result in cost savings to the organisation. Whilst the review seeks to improve efficiency and to lower costs, the service delivery of the organisation should not be compromised.</w:t>
      </w:r>
      <w:r w:rsidR="00751E79">
        <w:rPr>
          <w:i/>
        </w:rPr>
        <w:t>”</w:t>
      </w:r>
    </w:p>
    <w:p w:rsidR="00751E79" w:rsidRDefault="00751E79" w:rsidP="00751E79">
      <w:pPr>
        <w:rPr>
          <w:lang w:eastAsia="en-US"/>
        </w:rPr>
      </w:pPr>
      <w:r>
        <w:rPr>
          <w:lang w:eastAsia="en-US"/>
        </w:rPr>
        <w:t xml:space="preserve">A secondary factor that led to the need for the study was the introduction of compulsory seatbelt laws in the Northern Territory in early 2013, with implications for the seating of passengers in vehicles and specifically the restraint of children in approved child restraints. </w:t>
      </w:r>
    </w:p>
    <w:p w:rsidR="00DA3320" w:rsidRDefault="00751E79" w:rsidP="00751E79">
      <w:pPr>
        <w:rPr>
          <w:lang w:eastAsia="en-US"/>
        </w:rPr>
        <w:sectPr w:rsidR="00DA3320" w:rsidSect="00CC2ADC">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40" w:right="1440" w:bottom="1440" w:left="1440" w:header="708" w:footer="708" w:gutter="0"/>
          <w:cols w:space="708"/>
          <w:titlePg/>
          <w:docGrid w:linePitch="360"/>
        </w:sectPr>
      </w:pPr>
      <w:r>
        <w:rPr>
          <w:lang w:eastAsia="en-US"/>
        </w:rPr>
        <w:t>The ultimate aim was to deliver a medium-term strategy to CLC for meeting its ongoing transportation requirements in a manner that is cost effective, safe and efficient</w:t>
      </w:r>
      <w:r w:rsidR="00C01D94">
        <w:rPr>
          <w:lang w:eastAsia="en-US"/>
        </w:rPr>
        <w:t xml:space="preserve">. </w:t>
      </w:r>
    </w:p>
    <w:p w:rsidR="00DA3320" w:rsidRPr="00DA3320" w:rsidRDefault="00DA3320" w:rsidP="00751E79">
      <w:pPr>
        <w:rPr>
          <w:i/>
          <w:lang w:eastAsia="en-US"/>
        </w:rPr>
      </w:pPr>
    </w:p>
    <w:p w:rsidR="00CC2ADC" w:rsidRDefault="00C10EDC" w:rsidP="00C10EDC">
      <w:pPr>
        <w:pStyle w:val="SectionHeadingLevel2"/>
        <w:numPr>
          <w:ilvl w:val="1"/>
          <w:numId w:val="27"/>
        </w:numPr>
      </w:pPr>
      <w:r>
        <w:t>The study area</w:t>
      </w:r>
    </w:p>
    <w:p w:rsidR="00CC2ADC" w:rsidRDefault="00CC2ADC" w:rsidP="00CC2ADC">
      <w:pPr>
        <w:sectPr w:rsidR="00CC2ADC" w:rsidSect="00DA3320">
          <w:headerReference w:type="first" r:id="rId14"/>
          <w:pgSz w:w="11906" w:h="16838" w:code="9"/>
          <w:pgMar w:top="1440" w:right="1440" w:bottom="1440" w:left="1440" w:header="708" w:footer="708" w:gutter="0"/>
          <w:cols w:space="708"/>
          <w:titlePg/>
          <w:docGrid w:linePitch="360"/>
        </w:sectPr>
      </w:pPr>
    </w:p>
    <w:p w:rsidR="00C10EDC" w:rsidRDefault="00127FFE" w:rsidP="00CC2ADC">
      <w:r w:rsidRPr="00127FFE">
        <w:t>CLC has jurisdiction over the lower two thirds of the Northern Territory</w:t>
      </w:r>
      <w:r w:rsidR="00E81972">
        <w:t xml:space="preserve"> (NT)</w:t>
      </w:r>
      <w:r>
        <w:t xml:space="preserve">, shown in </w:t>
      </w:r>
      <w:r w:rsidR="00E37A73" w:rsidRPr="00E37A73">
        <w:rPr>
          <w:b/>
        </w:rPr>
        <w:t>Figure </w:t>
      </w:r>
      <w:r w:rsidRPr="00E37A73">
        <w:rPr>
          <w:b/>
        </w:rPr>
        <w:t>1</w:t>
      </w:r>
      <w:r w:rsidR="00C01D94">
        <w:t xml:space="preserve">. </w:t>
      </w:r>
      <w:r w:rsidR="00C10EDC" w:rsidRPr="00127FFE">
        <w:t>The study area covered the extent of CLC vehicle travel which</w:t>
      </w:r>
      <w:r>
        <w:t xml:space="preserve"> somewhat exceeded the formal</w:t>
      </w:r>
      <w:r w:rsidR="00E81972">
        <w:t xml:space="preserve"> NT boundaries</w:t>
      </w:r>
      <w:r>
        <w:t xml:space="preserve"> as language and kinship groups do not observe administrative boundaries and CLC business often extends into Western Australia, Queensland and South Australia in addition to the remainder of the </w:t>
      </w:r>
      <w:r w:rsidR="00803537">
        <w:t>NT</w:t>
      </w:r>
      <w:r w:rsidR="00C01D94">
        <w:t xml:space="preserve">. </w:t>
      </w:r>
    </w:p>
    <w:p w:rsidR="00CC2ADC" w:rsidRDefault="0041683D" w:rsidP="00CC2ADC">
      <w:r>
        <w:t xml:space="preserve">At the time of the study, CLC had a staff of </w:t>
      </w:r>
      <w:r w:rsidR="008D3BC7">
        <w:t>nearly 2</w:t>
      </w:r>
      <w:r w:rsidR="00E81972">
        <w:t>3</w:t>
      </w:r>
      <w:r w:rsidR="008D3BC7">
        <w:t xml:space="preserve">0, based in Alice Springs head office, nine Regional Offices and various other support facilities and Ranger units. </w:t>
      </w:r>
    </w:p>
    <w:tbl>
      <w:tblPr>
        <w:tblW w:w="5907" w:type="dxa"/>
        <w:tblLook w:val="04A0" w:firstRow="1" w:lastRow="0" w:firstColumn="1" w:lastColumn="0" w:noHBand="0" w:noVBand="1"/>
      </w:tblPr>
      <w:tblGrid>
        <w:gridCol w:w="6123"/>
      </w:tblGrid>
      <w:tr w:rsidR="00BB3AB6" w:rsidTr="00E37A73">
        <w:trPr>
          <w:trHeight w:val="350"/>
        </w:trPr>
        <w:tc>
          <w:tcPr>
            <w:tcW w:w="5907" w:type="dxa"/>
          </w:tcPr>
          <w:p w:rsidR="00C10EDC" w:rsidRDefault="00E37A73" w:rsidP="00127FFE">
            <w:pPr>
              <w:pStyle w:val="Captionstyle"/>
              <w:keepNext/>
              <w:ind w:left="360"/>
            </w:pPr>
            <w:r>
              <w:t>Figure </w:t>
            </w:r>
            <w:r w:rsidR="00127FFE">
              <w:t>1</w:t>
            </w:r>
            <w:r w:rsidR="00C10EDC">
              <w:t>: Study area</w:t>
            </w:r>
          </w:p>
        </w:tc>
      </w:tr>
      <w:tr w:rsidR="00BB3AB6" w:rsidTr="00E37A73">
        <w:trPr>
          <w:cantSplit/>
          <w:trHeight w:val="8241"/>
        </w:trPr>
        <w:tc>
          <w:tcPr>
            <w:tcW w:w="5907" w:type="dxa"/>
          </w:tcPr>
          <w:p w:rsidR="00C10EDC" w:rsidRDefault="00CC2ADC" w:rsidP="00CC2ADC">
            <w:pPr>
              <w:spacing w:after="0"/>
            </w:pPr>
            <w:r w:rsidRPr="003953A0">
              <w:rPr>
                <w:i/>
                <w:noProof/>
              </w:rPr>
              <w:drawing>
                <wp:inline distT="0" distB="0" distL="0" distR="0" wp14:anchorId="22BD8CD7" wp14:editId="5CD0CE9F">
                  <wp:extent cx="3765176" cy="5200954"/>
                  <wp:effectExtent l="0" t="0" r="6985" b="0"/>
                  <wp:docPr id="69" name="Picture 0" descr="CLC Regions (Simple Map) map2010-1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C Regions (Simple Map) map2010-153a.jpg"/>
                          <pic:cNvPicPr/>
                        </pic:nvPicPr>
                        <pic:blipFill>
                          <a:blip r:embed="rId15" cstate="print">
                            <a:extLst>
                              <a:ext uri="{28A0092B-C50C-407E-A947-70E740481C1C}">
                                <a14:useLocalDpi xmlns:a14="http://schemas.microsoft.com/office/drawing/2010/main" val="0"/>
                              </a:ext>
                            </a:extLst>
                          </a:blip>
                          <a:srcRect l="1801" t="2836" r="1408" b="2708"/>
                          <a:stretch>
                            <a:fillRect/>
                          </a:stretch>
                        </pic:blipFill>
                        <pic:spPr>
                          <a:xfrm>
                            <a:off x="0" y="0"/>
                            <a:ext cx="3768639" cy="5205738"/>
                          </a:xfrm>
                          <a:prstGeom prst="rect">
                            <a:avLst/>
                          </a:prstGeom>
                        </pic:spPr>
                      </pic:pic>
                    </a:graphicData>
                  </a:graphic>
                </wp:inline>
              </w:drawing>
            </w:r>
          </w:p>
        </w:tc>
      </w:tr>
    </w:tbl>
    <w:p w:rsidR="00CC2ADC" w:rsidRDefault="00CC2ADC" w:rsidP="00C10EDC">
      <w:pPr>
        <w:sectPr w:rsidR="00CC2ADC" w:rsidSect="00CC2ADC">
          <w:type w:val="continuous"/>
          <w:pgSz w:w="11906" w:h="16838" w:code="9"/>
          <w:pgMar w:top="1440" w:right="1440" w:bottom="1440" w:left="1440" w:header="708" w:footer="708" w:gutter="0"/>
          <w:cols w:num="2" w:space="2836" w:equalWidth="0">
            <w:col w:w="2552" w:space="567"/>
            <w:col w:w="5907"/>
          </w:cols>
          <w:titlePg/>
          <w:docGrid w:linePitch="360"/>
        </w:sectPr>
      </w:pPr>
    </w:p>
    <w:p w:rsidR="00C10EDC" w:rsidRDefault="00C10EDC" w:rsidP="00C10EDC"/>
    <w:p w:rsidR="00CC2ADC" w:rsidRDefault="00CC2ADC" w:rsidP="00C10EDC">
      <w:pPr>
        <w:sectPr w:rsidR="00CC2ADC" w:rsidSect="00CC2ADC">
          <w:headerReference w:type="first" r:id="rId16"/>
          <w:type w:val="continuous"/>
          <w:pgSz w:w="11906" w:h="16838" w:code="9"/>
          <w:pgMar w:top="1440" w:right="1440" w:bottom="1440" w:left="1440" w:header="708" w:footer="708" w:gutter="0"/>
          <w:cols w:space="708"/>
          <w:titlePg/>
          <w:docGrid w:linePitch="360"/>
        </w:sectPr>
      </w:pPr>
    </w:p>
    <w:p w:rsidR="00127FFE" w:rsidRDefault="00127FFE" w:rsidP="00127FFE">
      <w:pPr>
        <w:pStyle w:val="SectionHeadingLevel1"/>
      </w:pPr>
      <w:r>
        <w:t>2. The study process</w:t>
      </w:r>
    </w:p>
    <w:p w:rsidR="00C10EDC" w:rsidRDefault="00C10EDC" w:rsidP="00C10EDC">
      <w:pPr>
        <w:rPr>
          <w:lang w:eastAsia="en-US"/>
        </w:rPr>
      </w:pPr>
      <w:r>
        <w:rPr>
          <w:lang w:eastAsia="en-US"/>
        </w:rPr>
        <w:t xml:space="preserve">Because of the unique and complex nature of CLC’s transport task, </w:t>
      </w:r>
      <w:r w:rsidR="00127FFE">
        <w:rPr>
          <w:lang w:eastAsia="en-US"/>
        </w:rPr>
        <w:t>the</w:t>
      </w:r>
      <w:r>
        <w:rPr>
          <w:lang w:eastAsia="en-US"/>
        </w:rPr>
        <w:t xml:space="preserve"> study was conducted from first principles</w:t>
      </w:r>
      <w:r w:rsidR="00C01D94">
        <w:rPr>
          <w:lang w:eastAsia="en-US"/>
        </w:rPr>
        <w:t xml:space="preserve">. </w:t>
      </w:r>
      <w:r>
        <w:rPr>
          <w:lang w:eastAsia="en-US"/>
        </w:rPr>
        <w:t xml:space="preserve">It followed “simple” transport planning principles: </w:t>
      </w:r>
    </w:p>
    <w:p w:rsidR="00C10EDC" w:rsidRPr="004E3ACE" w:rsidRDefault="00C10EDC" w:rsidP="004E3ACE">
      <w:pPr>
        <w:numPr>
          <w:ilvl w:val="0"/>
          <w:numId w:val="16"/>
        </w:numPr>
      </w:pPr>
      <w:r w:rsidRPr="004E3ACE">
        <w:t>understanding the market, in this case CLC’s business across all Units</w:t>
      </w:r>
      <w:r w:rsidR="00127FFE" w:rsidRPr="004E3ACE">
        <w:t>,</w:t>
      </w:r>
      <w:r w:rsidRPr="004E3ACE">
        <w:t xml:space="preserve"> by </w:t>
      </w:r>
      <w:r w:rsidR="00127FFE" w:rsidRPr="004E3ACE">
        <w:t xml:space="preserve">undertaking </w:t>
      </w:r>
      <w:r w:rsidRPr="004E3ACE">
        <w:t>staff and constituent consultation</w:t>
      </w:r>
    </w:p>
    <w:p w:rsidR="00C10EDC" w:rsidRPr="004E3ACE" w:rsidRDefault="00C10EDC" w:rsidP="004E3ACE">
      <w:pPr>
        <w:numPr>
          <w:ilvl w:val="0"/>
          <w:numId w:val="16"/>
        </w:numPr>
      </w:pPr>
      <w:r w:rsidRPr="004E3ACE">
        <w:t xml:space="preserve">underpinning the study with evidence of observed travel patterns from a range of data </w:t>
      </w:r>
    </w:p>
    <w:p w:rsidR="00C10EDC" w:rsidRPr="004E3ACE" w:rsidRDefault="00C10EDC" w:rsidP="004E3ACE">
      <w:pPr>
        <w:numPr>
          <w:ilvl w:val="0"/>
          <w:numId w:val="16"/>
        </w:numPr>
      </w:pPr>
      <w:r w:rsidRPr="004E3ACE">
        <w:t>linking current travel to markets (group size, road conditions and trip purpose)</w:t>
      </w:r>
    </w:p>
    <w:p w:rsidR="00C10EDC" w:rsidRPr="004E3ACE" w:rsidRDefault="00C10EDC" w:rsidP="004E3ACE">
      <w:pPr>
        <w:numPr>
          <w:ilvl w:val="0"/>
          <w:numId w:val="16"/>
        </w:numPr>
      </w:pPr>
      <w:r w:rsidRPr="004E3ACE">
        <w:t>identifying options to provide an efficient and safe transport solution and</w:t>
      </w:r>
    </w:p>
    <w:p w:rsidR="00C10EDC" w:rsidRDefault="00C10EDC" w:rsidP="004E3ACE">
      <w:pPr>
        <w:numPr>
          <w:ilvl w:val="0"/>
          <w:numId w:val="16"/>
        </w:numPr>
      </w:pPr>
      <w:r w:rsidRPr="004E3ACE">
        <w:t>recommending a fleet structure, vehicle mix and size and a range of strategic and operational measures.</w:t>
      </w:r>
    </w:p>
    <w:tbl>
      <w:tblPr>
        <w:tblW w:w="0" w:type="auto"/>
        <w:tblLook w:val="04A0" w:firstRow="1" w:lastRow="0" w:firstColumn="1" w:lastColumn="0" w:noHBand="0" w:noVBand="1"/>
      </w:tblPr>
      <w:tblGrid>
        <w:gridCol w:w="9139"/>
      </w:tblGrid>
      <w:tr w:rsidR="00C10EDC" w:rsidTr="00EB065C">
        <w:tc>
          <w:tcPr>
            <w:tcW w:w="9026" w:type="dxa"/>
          </w:tcPr>
          <w:p w:rsidR="00C10EDC" w:rsidRDefault="00E37A73" w:rsidP="00E37A73">
            <w:pPr>
              <w:pStyle w:val="Captionstyle"/>
              <w:keepNext/>
              <w:ind w:left="360"/>
            </w:pPr>
            <w:r>
              <w:lastRenderedPageBreak/>
              <w:t>Figure 2</w:t>
            </w:r>
            <w:r w:rsidR="00C10EDC">
              <w:t>: Study process</w:t>
            </w:r>
          </w:p>
        </w:tc>
      </w:tr>
      <w:tr w:rsidR="00C10EDC" w:rsidTr="00EB065C">
        <w:tc>
          <w:tcPr>
            <w:tcW w:w="9026" w:type="dxa"/>
          </w:tcPr>
          <w:p w:rsidR="00C10EDC" w:rsidRDefault="00C10EDC" w:rsidP="00C10EDC">
            <w:pPr>
              <w:rPr>
                <w:lang w:eastAsia="en-US"/>
              </w:rPr>
            </w:pPr>
            <w:r w:rsidRPr="003D301D">
              <w:rPr>
                <w:noProof/>
              </w:rPr>
              <w:drawing>
                <wp:inline distT="0" distB="0" distL="0" distR="0" wp14:anchorId="758C9C12" wp14:editId="2E4C5ED1">
                  <wp:extent cx="5666400" cy="339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6400" cy="3391200"/>
                          </a:xfrm>
                          <a:prstGeom prst="rect">
                            <a:avLst/>
                          </a:prstGeom>
                          <a:noFill/>
                          <a:ln>
                            <a:noFill/>
                          </a:ln>
                        </pic:spPr>
                      </pic:pic>
                    </a:graphicData>
                  </a:graphic>
                </wp:inline>
              </w:drawing>
            </w:r>
          </w:p>
        </w:tc>
      </w:tr>
    </w:tbl>
    <w:p w:rsidR="00C10EDC" w:rsidRDefault="00C10EDC" w:rsidP="00C10EDC">
      <w:pPr>
        <w:rPr>
          <w:lang w:eastAsia="en-US"/>
        </w:rPr>
      </w:pPr>
    </w:p>
    <w:p w:rsidR="00127FFE" w:rsidRDefault="00127FFE" w:rsidP="00127FFE">
      <w:pPr>
        <w:pStyle w:val="SectionHeadingLevel1"/>
      </w:pPr>
      <w:r>
        <w:t>3. Data sources</w:t>
      </w:r>
    </w:p>
    <w:p w:rsidR="004E3ACE" w:rsidRDefault="004E3ACE" w:rsidP="004E3ACE">
      <w:pPr>
        <w:pStyle w:val="SectionHeadingLevel2"/>
      </w:pPr>
      <w:r>
        <w:t>3.1. Organisational data</w:t>
      </w:r>
    </w:p>
    <w:p w:rsidR="00C10EDC" w:rsidRDefault="00C10EDC" w:rsidP="00C10EDC">
      <w:pPr>
        <w:rPr>
          <w:lang w:eastAsia="en-US"/>
        </w:rPr>
      </w:pPr>
      <w:r>
        <w:rPr>
          <w:lang w:eastAsia="en-US"/>
        </w:rPr>
        <w:t>The use of sound data on current travel was a critical element of the study</w:t>
      </w:r>
      <w:r w:rsidR="00C01D94">
        <w:rPr>
          <w:lang w:eastAsia="en-US"/>
        </w:rPr>
        <w:t xml:space="preserve">. </w:t>
      </w:r>
      <w:r>
        <w:rPr>
          <w:lang w:eastAsia="en-US"/>
        </w:rPr>
        <w:t>Data sources comprised</w:t>
      </w:r>
      <w:r w:rsidR="004E3ACE">
        <w:rPr>
          <w:lang w:eastAsia="en-US"/>
        </w:rPr>
        <w:t xml:space="preserve"> predominantly CLC’s own data, supplemented by two surveys</w:t>
      </w:r>
      <w:r>
        <w:rPr>
          <w:lang w:eastAsia="en-US"/>
        </w:rPr>
        <w:t>:</w:t>
      </w:r>
    </w:p>
    <w:p w:rsidR="00C10EDC" w:rsidRPr="004E3ACE" w:rsidRDefault="00C10EDC" w:rsidP="004E3ACE">
      <w:pPr>
        <w:numPr>
          <w:ilvl w:val="0"/>
          <w:numId w:val="16"/>
        </w:numPr>
      </w:pPr>
      <w:r w:rsidRPr="004E3ACE">
        <w:rPr>
          <w:b/>
        </w:rPr>
        <w:t>CLC intranet data:</w:t>
      </w:r>
      <w:r w:rsidRPr="004E3ACE">
        <w:t xml:space="preserve"> vehicle information, staff listings</w:t>
      </w:r>
      <w:r w:rsidR="007C6D9B">
        <w:t xml:space="preserve"> and travel allowances</w:t>
      </w:r>
      <w:r w:rsidRPr="004E3ACE">
        <w:t>, meeting calendars</w:t>
      </w:r>
      <w:r w:rsidR="004E3ACE">
        <w:t xml:space="preserve"> were used </w:t>
      </w:r>
      <w:r w:rsidR="000340DF">
        <w:t xml:space="preserve">to </w:t>
      </w:r>
      <w:r w:rsidR="007C6D9B">
        <w:t>quantify the current fleet, garaging location and status (restricted use or pool vehicle), identify the extent and nature of meeting transport and as a sample frame for surveys</w:t>
      </w:r>
    </w:p>
    <w:p w:rsidR="00C10EDC" w:rsidRPr="004E3ACE" w:rsidRDefault="00127FFE" w:rsidP="004E3ACE">
      <w:pPr>
        <w:numPr>
          <w:ilvl w:val="0"/>
          <w:numId w:val="16"/>
        </w:numPr>
      </w:pPr>
      <w:r w:rsidRPr="007C6D9B">
        <w:rPr>
          <w:b/>
        </w:rPr>
        <w:t xml:space="preserve">CLC’s </w:t>
      </w:r>
      <w:r w:rsidR="00C10EDC" w:rsidRPr="007C6D9B">
        <w:rPr>
          <w:b/>
        </w:rPr>
        <w:t>Vehicle Booking System</w:t>
      </w:r>
      <w:r w:rsidR="00C10EDC" w:rsidRPr="004E3ACE">
        <w:t xml:space="preserve"> (VBS)</w:t>
      </w:r>
      <w:r w:rsidR="007C6D9B">
        <w:t xml:space="preserve"> was the initial source of evaluation of vehicle use, allocation and availability, later supplemented by and compared with actual use of vehicles via the tracking data</w:t>
      </w:r>
    </w:p>
    <w:p w:rsidR="00C10EDC" w:rsidRPr="004E3ACE" w:rsidRDefault="00C10EDC" w:rsidP="004E3ACE">
      <w:pPr>
        <w:numPr>
          <w:ilvl w:val="0"/>
          <w:numId w:val="16"/>
        </w:numPr>
      </w:pPr>
      <w:r w:rsidRPr="007C6D9B">
        <w:rPr>
          <w:b/>
        </w:rPr>
        <w:t>NAVMAN vehicle tracking data</w:t>
      </w:r>
      <w:r w:rsidRPr="004E3ACE">
        <w:t xml:space="preserve">, extracted </w:t>
      </w:r>
      <w:r w:rsidR="007C6D9B">
        <w:t xml:space="preserve">for six months and analysed in detail </w:t>
      </w:r>
      <w:r w:rsidRPr="004E3ACE">
        <w:t xml:space="preserve">to </w:t>
      </w:r>
      <w:r w:rsidR="007C6D9B">
        <w:t>determine the actual use of vehicles</w:t>
      </w:r>
      <w:r w:rsidR="00177514">
        <w:t xml:space="preserve"> over a broad range of measures</w:t>
      </w:r>
      <w:r w:rsidR="007C6D9B">
        <w:t>; this was later expanded to 12 months</w:t>
      </w:r>
      <w:r w:rsidR="00177514">
        <w:t xml:space="preserve"> to test for seasonality impacts of the detailed findings</w:t>
      </w:r>
    </w:p>
    <w:p w:rsidR="00C10EDC" w:rsidRPr="004E3ACE" w:rsidRDefault="00C10EDC" w:rsidP="004E3ACE">
      <w:pPr>
        <w:numPr>
          <w:ilvl w:val="0"/>
          <w:numId w:val="16"/>
        </w:numPr>
      </w:pPr>
      <w:r w:rsidRPr="004E3ACE">
        <w:t xml:space="preserve">An online </w:t>
      </w:r>
      <w:r w:rsidRPr="00177514">
        <w:rPr>
          <w:b/>
        </w:rPr>
        <w:t>survey of CLC staff</w:t>
      </w:r>
      <w:r w:rsidRPr="004E3ACE">
        <w:t xml:space="preserve"> who received a Travel Allowance to elicit details about their vehicle trip, including vehicle, trip location, purpose, vehicle occupants, locations of pickups</w:t>
      </w:r>
    </w:p>
    <w:p w:rsidR="00B41177" w:rsidRDefault="00C10EDC" w:rsidP="00B41177">
      <w:pPr>
        <w:pStyle w:val="ListParagraph"/>
        <w:numPr>
          <w:ilvl w:val="0"/>
          <w:numId w:val="16"/>
        </w:numPr>
      </w:pPr>
      <w:r w:rsidRPr="004E3ACE">
        <w:t xml:space="preserve">A </w:t>
      </w:r>
      <w:r w:rsidRPr="00B41177">
        <w:rPr>
          <w:b/>
        </w:rPr>
        <w:t>survey of meeting organisers</w:t>
      </w:r>
      <w:r w:rsidRPr="004E3ACE">
        <w:t xml:space="preserve"> identified from the CLC calendars to measure the number of people present, vehicles and drivers, the use of CLC pick up versus self transport for participants. </w:t>
      </w:r>
      <w:r w:rsidR="00177514" w:rsidRPr="004E3ACE">
        <w:t>Both surveys provided the opportunity for comments on transport issues encountered during the trip</w:t>
      </w:r>
      <w:r w:rsidR="00177514">
        <w:t xml:space="preserve">/meeting, expanding the consultation process to a broader range of staff than was possible in face-to-face consultation. </w:t>
      </w:r>
    </w:p>
    <w:p w:rsidR="00B41177" w:rsidRDefault="00B41177" w:rsidP="00B41177">
      <w:pPr>
        <w:rPr>
          <w:lang w:eastAsia="en-US"/>
        </w:rPr>
      </w:pPr>
      <w:r>
        <w:rPr>
          <w:lang w:eastAsia="en-US"/>
        </w:rPr>
        <w:t>Considerable effort was taken to cleanse the various data sources so that they could be linked for analysis</w:t>
      </w:r>
      <w:r w:rsidR="00C01D94">
        <w:rPr>
          <w:lang w:eastAsia="en-US"/>
        </w:rPr>
        <w:t xml:space="preserve">. </w:t>
      </w:r>
    </w:p>
    <w:p w:rsidR="00177514" w:rsidRDefault="00FA7FBE" w:rsidP="00CE52F3">
      <w:pPr>
        <w:pStyle w:val="SectionHeadingLevel2"/>
        <w:keepNext/>
      </w:pPr>
      <w:r>
        <w:lastRenderedPageBreak/>
        <w:t>3.2</w:t>
      </w:r>
      <w:r w:rsidR="00177514">
        <w:t xml:space="preserve">. </w:t>
      </w:r>
      <w:r w:rsidR="00177514" w:rsidRPr="00177514">
        <w:t>Data cleansing and exploratory analysis</w:t>
      </w:r>
    </w:p>
    <w:p w:rsidR="00342935" w:rsidRDefault="00342935" w:rsidP="00342935">
      <w:pPr>
        <w:keepNext/>
        <w:rPr>
          <w:b/>
          <w:i/>
        </w:rPr>
      </w:pPr>
      <w:r>
        <w:rPr>
          <w:b/>
          <w:i/>
        </w:rPr>
        <w:t xml:space="preserve">3.2.1. </w:t>
      </w:r>
      <w:r w:rsidRPr="003B0C83">
        <w:rPr>
          <w:b/>
          <w:i/>
        </w:rPr>
        <w:t>NAVMAN data</w:t>
      </w:r>
    </w:p>
    <w:p w:rsidR="00342935" w:rsidRDefault="00342935" w:rsidP="00342935">
      <w:r w:rsidRPr="003B0C83">
        <w:t xml:space="preserve">Raw data from six months of vehicle </w:t>
      </w:r>
      <w:r>
        <w:t xml:space="preserve">tracking was downloaded from the </w:t>
      </w:r>
      <w:r w:rsidR="008D3BC7">
        <w:t xml:space="preserve">online </w:t>
      </w:r>
      <w:r>
        <w:t>NAVMAN database of CLC vehicle</w:t>
      </w:r>
      <w:r w:rsidR="008D3BC7">
        <w:t>s</w:t>
      </w:r>
      <w:r w:rsidR="00C01D94">
        <w:t xml:space="preserve">. </w:t>
      </w:r>
      <w:r>
        <w:t xml:space="preserve">The NAVMAN unit installed in each vehicle records the vehicle’s location in latitude/longitude at engine start, engine stop and every two minutes while the engine is running. Bespoke coding by the NAVMAN software into locality names was not used as it lacked the locational precision required in the study. </w:t>
      </w:r>
    </w:p>
    <w:p w:rsidR="00342935" w:rsidRDefault="00342935" w:rsidP="00342935">
      <w:r>
        <w:t>Vehicles can be tracked in real time or retrospectively, but this level of detail far exceeded the study’s needs</w:t>
      </w:r>
      <w:r w:rsidR="00C01D94">
        <w:t xml:space="preserve">. </w:t>
      </w:r>
      <w:r>
        <w:t>Pre-defined management-level reports were insufficiently detailed although they were used to provide some overview statistics such as weekly kilometres travelled</w:t>
      </w:r>
      <w:r w:rsidR="00C01D94">
        <w:t xml:space="preserve">. </w:t>
      </w:r>
    </w:p>
    <w:p w:rsidR="00342935" w:rsidRDefault="00342935" w:rsidP="00342935">
      <w:r>
        <w:t>Sufficient detail was achieved by the extraction of individual vehicle trip records, where a trip was defined as an ignition-on and ignition-off event</w:t>
      </w:r>
      <w:r w:rsidR="00C01D94">
        <w:t xml:space="preserve">. </w:t>
      </w:r>
    </w:p>
    <w:p w:rsidR="00EB065C" w:rsidRDefault="00EB065C" w:rsidP="00EB065C">
      <w:r>
        <w:t>During the study period NAVMAN units were not installed in all CLC vehicles. Checks were undertaken early in the analysis phase to identify the level of under-reporting of travel and any biases that might be introduced</w:t>
      </w:r>
      <w:r w:rsidR="00C01D94">
        <w:t xml:space="preserve">. </w:t>
      </w:r>
      <w:r>
        <w:t xml:space="preserve">Using the VBS system data, a </w:t>
      </w:r>
      <w:r w:rsidR="002140FA">
        <w:t>number</w:t>
      </w:r>
      <w:r>
        <w:t xml:space="preserve"> of tests </w:t>
      </w:r>
      <w:r w:rsidR="002140FA">
        <w:t>were</w:t>
      </w:r>
      <w:r>
        <w:t xml:space="preserve"> undertaken to compare the use of vehicles</w:t>
      </w:r>
      <w:r w:rsidR="002140FA">
        <w:t>; th</w:t>
      </w:r>
      <w:r>
        <w:t>e following key measures showed no substantial bias between those with and those without NAVMAN:</w:t>
      </w:r>
    </w:p>
    <w:p w:rsidR="00EB065C" w:rsidRDefault="00EB065C" w:rsidP="00EB065C">
      <w:pPr>
        <w:numPr>
          <w:ilvl w:val="0"/>
          <w:numId w:val="16"/>
        </w:numPr>
      </w:pPr>
      <w:r>
        <w:t>Destination type (community size, towns, etc)</w:t>
      </w:r>
    </w:p>
    <w:p w:rsidR="00EB065C" w:rsidRDefault="00EB065C" w:rsidP="00EB065C">
      <w:pPr>
        <w:numPr>
          <w:ilvl w:val="0"/>
          <w:numId w:val="16"/>
        </w:numPr>
      </w:pPr>
      <w:r>
        <w:t>Vehicle occupancy</w:t>
      </w:r>
    </w:p>
    <w:p w:rsidR="00EB065C" w:rsidRDefault="00EB065C" w:rsidP="00EB065C">
      <w:pPr>
        <w:numPr>
          <w:ilvl w:val="0"/>
          <w:numId w:val="16"/>
        </w:numPr>
      </w:pPr>
      <w:r>
        <w:t>Vehicle utilisation (days used vs days available for use)</w:t>
      </w:r>
    </w:p>
    <w:p w:rsidR="00EB065C" w:rsidRDefault="00EB065C" w:rsidP="00EB065C">
      <w:pPr>
        <w:numPr>
          <w:ilvl w:val="0"/>
          <w:numId w:val="16"/>
        </w:numPr>
      </w:pPr>
      <w:r>
        <w:t xml:space="preserve">Number of days used in each month. </w:t>
      </w:r>
    </w:p>
    <w:p w:rsidR="00CE52F3" w:rsidRPr="00697AC7" w:rsidRDefault="00FA7FBE" w:rsidP="00CE52F3">
      <w:pPr>
        <w:keepNext/>
        <w:rPr>
          <w:b/>
          <w:i/>
        </w:rPr>
      </w:pPr>
      <w:r>
        <w:rPr>
          <w:b/>
          <w:i/>
        </w:rPr>
        <w:t>3</w:t>
      </w:r>
      <w:r w:rsidR="00CE52F3" w:rsidRPr="00697AC7">
        <w:rPr>
          <w:b/>
          <w:i/>
        </w:rPr>
        <w:t>.2.</w:t>
      </w:r>
      <w:r w:rsidR="00342935">
        <w:rPr>
          <w:b/>
          <w:i/>
        </w:rPr>
        <w:t>2</w:t>
      </w:r>
      <w:r w:rsidR="00CE52F3" w:rsidRPr="00697AC7">
        <w:rPr>
          <w:b/>
          <w:i/>
        </w:rPr>
        <w:t>. Place names</w:t>
      </w:r>
    </w:p>
    <w:p w:rsidR="00CE52F3" w:rsidRDefault="00CE52F3" w:rsidP="00CE52F3">
      <w:pPr>
        <w:rPr>
          <w:color w:val="222222"/>
          <w:shd w:val="clear" w:color="auto" w:fill="FFFFFF"/>
        </w:rPr>
      </w:pPr>
      <w:r>
        <w:rPr>
          <w:color w:val="222222"/>
          <w:shd w:val="clear" w:color="auto" w:fill="FFFFFF"/>
        </w:rPr>
        <w:t>A master list of locations was developed and augmented as data analysis progressed. Aboriginal place names are spelled phonetically and less common locations have multiple spellings</w:t>
      </w:r>
      <w:r w:rsidR="00C01D94">
        <w:rPr>
          <w:color w:val="222222"/>
          <w:shd w:val="clear" w:color="auto" w:fill="FFFFFF"/>
        </w:rPr>
        <w:t xml:space="preserve">. </w:t>
      </w:r>
      <w:r>
        <w:rPr>
          <w:color w:val="222222"/>
          <w:shd w:val="clear" w:color="auto" w:fill="FFFFFF"/>
        </w:rPr>
        <w:t xml:space="preserve">Harmonisation was essential to enable the linking of multiple data sources. Other locations have names which to non-indigenous ears, sound identical. For example, </w:t>
      </w:r>
      <w:r w:rsidRPr="00763DC9">
        <w:rPr>
          <w:b/>
          <w:color w:val="222222"/>
          <w:shd w:val="clear" w:color="auto" w:fill="FFFFFF"/>
        </w:rPr>
        <w:t>Arlparra</w:t>
      </w:r>
      <w:r w:rsidRPr="009C1791">
        <w:rPr>
          <w:color w:val="222222"/>
          <w:shd w:val="clear" w:color="auto" w:fill="FFFFFF"/>
        </w:rPr>
        <w:t xml:space="preserve"> is a family community on the Sandover </w:t>
      </w:r>
      <w:r>
        <w:rPr>
          <w:color w:val="222222"/>
          <w:shd w:val="clear" w:color="auto" w:fill="FFFFFF"/>
        </w:rPr>
        <w:t xml:space="preserve">Highway </w:t>
      </w:r>
      <w:r w:rsidRPr="009C1791">
        <w:rPr>
          <w:color w:val="222222"/>
          <w:shd w:val="clear" w:color="auto" w:fill="FFFFFF"/>
        </w:rPr>
        <w:t>and is also known as: Ahalpere, Angarapa, New Shop, Urapuntja Store, Utopia New Store</w:t>
      </w:r>
      <w:r>
        <w:rPr>
          <w:color w:val="222222"/>
          <w:shd w:val="clear" w:color="auto" w:fill="FFFFFF"/>
        </w:rPr>
        <w:t>;</w:t>
      </w:r>
      <w:r w:rsidRPr="009C1791">
        <w:rPr>
          <w:color w:val="222222"/>
          <w:shd w:val="clear" w:color="auto" w:fill="FFFFFF"/>
        </w:rPr>
        <w:t xml:space="preserve"> </w:t>
      </w:r>
      <w:r w:rsidRPr="00E33522">
        <w:rPr>
          <w:b/>
          <w:color w:val="222222"/>
          <w:shd w:val="clear" w:color="auto" w:fill="FFFFFF"/>
        </w:rPr>
        <w:t>Alpara</w:t>
      </w:r>
      <w:r w:rsidRPr="009C1791">
        <w:rPr>
          <w:color w:val="222222"/>
          <w:shd w:val="clear" w:color="auto" w:fill="FFFFFF"/>
        </w:rPr>
        <w:t xml:space="preserve"> is a family outstation in the Amata area </w:t>
      </w:r>
      <w:r>
        <w:rPr>
          <w:color w:val="222222"/>
          <w:shd w:val="clear" w:color="auto" w:fill="FFFFFF"/>
        </w:rPr>
        <w:t xml:space="preserve">just north of the </w:t>
      </w:r>
      <w:r w:rsidRPr="009C1791">
        <w:rPr>
          <w:color w:val="222222"/>
          <w:shd w:val="clear" w:color="auto" w:fill="FFFFFF"/>
        </w:rPr>
        <w:t>South Australia</w:t>
      </w:r>
      <w:r>
        <w:rPr>
          <w:color w:val="222222"/>
          <w:shd w:val="clear" w:color="auto" w:fill="FFFFFF"/>
        </w:rPr>
        <w:t>n border; they are 500 km apart</w:t>
      </w:r>
      <w:r w:rsidR="00C01D94">
        <w:rPr>
          <w:color w:val="222222"/>
          <w:shd w:val="clear" w:color="auto" w:fill="FFFFFF"/>
        </w:rPr>
        <w:t xml:space="preserve">. </w:t>
      </w:r>
      <w:r w:rsidRPr="009C1791">
        <w:rPr>
          <w:b/>
          <w:color w:val="222222"/>
          <w:shd w:val="clear" w:color="auto" w:fill="FFFFFF"/>
        </w:rPr>
        <w:t>Artekerr</w:t>
      </w:r>
      <w:r w:rsidRPr="00E33522">
        <w:rPr>
          <w:color w:val="222222"/>
          <w:shd w:val="clear" w:color="auto" w:fill="FFFFFF"/>
        </w:rPr>
        <w:t xml:space="preserve">, or Artekkerre, Atikirra, Three Bores, is a family outstation on the Sandover River; </w:t>
      </w:r>
      <w:r w:rsidRPr="009C1791">
        <w:rPr>
          <w:b/>
          <w:color w:val="222222"/>
          <w:shd w:val="clear" w:color="auto" w:fill="FFFFFF"/>
        </w:rPr>
        <w:t>Artekerre</w:t>
      </w:r>
      <w:r w:rsidRPr="00E33522">
        <w:rPr>
          <w:color w:val="222222"/>
          <w:shd w:val="clear" w:color="auto" w:fill="FFFFFF"/>
        </w:rPr>
        <w:t>, or Arterre, Harry Creek, Mc</w:t>
      </w:r>
      <w:r>
        <w:rPr>
          <w:color w:val="222222"/>
          <w:shd w:val="clear" w:color="auto" w:fill="FFFFFF"/>
        </w:rPr>
        <w:t>G</w:t>
      </w:r>
      <w:r w:rsidRPr="00E33522">
        <w:rPr>
          <w:color w:val="222222"/>
          <w:shd w:val="clear" w:color="auto" w:fill="FFFFFF"/>
        </w:rPr>
        <w:t xml:space="preserve">rath Flat is an outstation near the Stuart Highway about 50 km north of Alice Springs; they are over 150 km apart. </w:t>
      </w:r>
      <w:r>
        <w:rPr>
          <w:color w:val="222222"/>
          <w:shd w:val="clear" w:color="auto" w:fill="FFFFFF"/>
        </w:rPr>
        <w:t>Misspellings abound in various data sources</w:t>
      </w:r>
      <w:r w:rsidR="00FA7FBE">
        <w:rPr>
          <w:color w:val="222222"/>
          <w:shd w:val="clear" w:color="auto" w:fill="FFFFFF"/>
        </w:rPr>
        <w:t xml:space="preserve"> and considerable effort was required to harmonise location definitions in the various data sources</w:t>
      </w:r>
      <w:r>
        <w:rPr>
          <w:color w:val="222222"/>
          <w:shd w:val="clear" w:color="auto" w:fill="FFFFFF"/>
        </w:rPr>
        <w:t xml:space="preserve">. </w:t>
      </w:r>
    </w:p>
    <w:p w:rsidR="00CE52F3" w:rsidRDefault="00CE52F3" w:rsidP="00CE52F3">
      <w:pPr>
        <w:rPr>
          <w:color w:val="222222"/>
          <w:shd w:val="clear" w:color="auto" w:fill="FFFFFF"/>
        </w:rPr>
      </w:pPr>
      <w:r>
        <w:rPr>
          <w:color w:val="222222"/>
          <w:shd w:val="clear" w:color="auto" w:fill="FFFFFF"/>
        </w:rPr>
        <w:t xml:space="preserve">Eventually, the list of 300 or so CLC </w:t>
      </w:r>
      <w:r w:rsidR="00E37A73">
        <w:rPr>
          <w:color w:val="222222"/>
          <w:shd w:val="clear" w:color="auto" w:fill="FFFFFF"/>
        </w:rPr>
        <w:t>communities</w:t>
      </w:r>
      <w:r>
        <w:rPr>
          <w:color w:val="222222"/>
          <w:shd w:val="clear" w:color="auto" w:fill="FFFFFF"/>
        </w:rPr>
        <w:t xml:space="preserve"> was expanded to include CLC offices and suppliers, towns, often visited on-country locations such as song lines, some sacred sites, mining exploration areas and other identifiable localities including segments of major roads</w:t>
      </w:r>
      <w:r w:rsidR="00C01D94">
        <w:rPr>
          <w:color w:val="222222"/>
          <w:shd w:val="clear" w:color="auto" w:fill="FFFFFF"/>
        </w:rPr>
        <w:t xml:space="preserve">. </w:t>
      </w:r>
      <w:r>
        <w:rPr>
          <w:color w:val="222222"/>
          <w:shd w:val="clear" w:color="auto" w:fill="FFFFFF"/>
        </w:rPr>
        <w:t xml:space="preserve">A total of 738 locations were defined. </w:t>
      </w:r>
    </w:p>
    <w:p w:rsidR="003B0C83" w:rsidRPr="003B0C83" w:rsidRDefault="00F06EEC" w:rsidP="00F921AB">
      <w:pPr>
        <w:keepNext/>
        <w:rPr>
          <w:b/>
          <w:i/>
        </w:rPr>
      </w:pPr>
      <w:r>
        <w:rPr>
          <w:b/>
          <w:i/>
        </w:rPr>
        <w:t>3.2.3</w:t>
      </w:r>
      <w:r w:rsidR="00CE52F3">
        <w:rPr>
          <w:b/>
          <w:i/>
        </w:rPr>
        <w:t xml:space="preserve"> </w:t>
      </w:r>
      <w:r w:rsidR="003B0C83" w:rsidRPr="003B0C83">
        <w:rPr>
          <w:b/>
          <w:i/>
        </w:rPr>
        <w:t>Geocoding NAVMAN trip ends</w:t>
      </w:r>
    </w:p>
    <w:p w:rsidR="00B41177" w:rsidRDefault="003B0C83" w:rsidP="00177514">
      <w:pPr>
        <w:rPr>
          <w:color w:val="222222"/>
          <w:shd w:val="clear" w:color="auto" w:fill="FFFFFF"/>
        </w:rPr>
      </w:pPr>
      <w:r>
        <w:rPr>
          <w:color w:val="222222"/>
          <w:shd w:val="clear" w:color="auto" w:fill="FFFFFF"/>
        </w:rPr>
        <w:t xml:space="preserve">The 738 locations were used to geocode </w:t>
      </w:r>
      <w:r w:rsidR="00CE52F3">
        <w:rPr>
          <w:color w:val="222222"/>
          <w:shd w:val="clear" w:color="auto" w:fill="FFFFFF"/>
        </w:rPr>
        <w:t>each ignition event</w:t>
      </w:r>
      <w:r w:rsidR="00C01D94">
        <w:rPr>
          <w:color w:val="222222"/>
          <w:shd w:val="clear" w:color="auto" w:fill="FFFFFF"/>
        </w:rPr>
        <w:t xml:space="preserve">. </w:t>
      </w:r>
      <w:r w:rsidR="00B41177">
        <w:rPr>
          <w:color w:val="222222"/>
          <w:shd w:val="clear" w:color="auto" w:fill="FFFFFF"/>
        </w:rPr>
        <w:t>Several rounds of geocoding ensued to identify clusters of activity that warranted the creation of new locations, especially in remote areas</w:t>
      </w:r>
      <w:r w:rsidR="00C01D94">
        <w:rPr>
          <w:color w:val="222222"/>
          <w:shd w:val="clear" w:color="auto" w:fill="FFFFFF"/>
        </w:rPr>
        <w:t xml:space="preserve">. </w:t>
      </w:r>
      <w:r w:rsidR="00B41177">
        <w:rPr>
          <w:color w:val="222222"/>
          <w:shd w:val="clear" w:color="auto" w:fill="FFFFFF"/>
        </w:rPr>
        <w:t>Typical remote activities included mining exploration licencing field trips, cultural events such as bush medicine trips and song lines, Council meetings, pastoral leases and other field sites</w:t>
      </w:r>
      <w:r w:rsidR="00C01D94">
        <w:rPr>
          <w:color w:val="222222"/>
          <w:shd w:val="clear" w:color="auto" w:fill="FFFFFF"/>
        </w:rPr>
        <w:t xml:space="preserve">. </w:t>
      </w:r>
    </w:p>
    <w:p w:rsidR="00177514" w:rsidRDefault="00FA7FBE" w:rsidP="00DA3320">
      <w:pPr>
        <w:keepNext/>
        <w:rPr>
          <w:color w:val="222222"/>
          <w:shd w:val="clear" w:color="auto" w:fill="FFFFFF"/>
        </w:rPr>
      </w:pPr>
      <w:r>
        <w:rPr>
          <w:color w:val="222222"/>
          <w:shd w:val="clear" w:color="auto" w:fill="FFFFFF"/>
        </w:rPr>
        <w:lastRenderedPageBreak/>
        <w:t xml:space="preserve">Proximity ranges were used to </w:t>
      </w:r>
      <w:r w:rsidR="00F06EEC">
        <w:rPr>
          <w:color w:val="222222"/>
          <w:shd w:val="clear" w:color="auto" w:fill="FFFFFF"/>
        </w:rPr>
        <w:t>allocate</w:t>
      </w:r>
      <w:r>
        <w:rPr>
          <w:color w:val="222222"/>
          <w:shd w:val="clear" w:color="auto" w:fill="FFFFFF"/>
        </w:rPr>
        <w:t xml:space="preserve"> each trip end to a location</w:t>
      </w:r>
      <w:r w:rsidR="00F06EEC">
        <w:rPr>
          <w:color w:val="222222"/>
          <w:shd w:val="clear" w:color="auto" w:fill="FFFFFF"/>
        </w:rPr>
        <w:t xml:space="preserve"> based on their size and the proximity of other identified locations</w:t>
      </w:r>
      <w:r w:rsidR="00C01D94">
        <w:rPr>
          <w:color w:val="222222"/>
          <w:shd w:val="clear" w:color="auto" w:fill="FFFFFF"/>
        </w:rPr>
        <w:t xml:space="preserve">. </w:t>
      </w:r>
      <w:r>
        <w:rPr>
          <w:color w:val="222222"/>
          <w:shd w:val="clear" w:color="auto" w:fill="FFFFFF"/>
        </w:rPr>
        <w:t>For example:</w:t>
      </w:r>
    </w:p>
    <w:p w:rsidR="00FA7FBE" w:rsidRDefault="00FA7FBE" w:rsidP="00F06EEC">
      <w:pPr>
        <w:pStyle w:val="ListParagraph"/>
        <w:numPr>
          <w:ilvl w:val="0"/>
          <w:numId w:val="29"/>
        </w:numPr>
        <w:tabs>
          <w:tab w:val="left" w:pos="3969"/>
        </w:tabs>
        <w:rPr>
          <w:color w:val="222222"/>
          <w:shd w:val="clear" w:color="auto" w:fill="FFFFFF"/>
        </w:rPr>
      </w:pPr>
      <w:r>
        <w:rPr>
          <w:color w:val="222222"/>
          <w:shd w:val="clear" w:color="auto" w:fill="FFFFFF"/>
        </w:rPr>
        <w:t>CLC office</w:t>
      </w:r>
      <w:r>
        <w:rPr>
          <w:color w:val="222222"/>
          <w:shd w:val="clear" w:color="auto" w:fill="FFFFFF"/>
        </w:rPr>
        <w:tab/>
        <w:t>0.2 km</w:t>
      </w:r>
    </w:p>
    <w:p w:rsidR="00FA7FBE" w:rsidRDefault="00FA7FBE" w:rsidP="00F06EEC">
      <w:pPr>
        <w:pStyle w:val="ListParagraph"/>
        <w:numPr>
          <w:ilvl w:val="0"/>
          <w:numId w:val="29"/>
        </w:numPr>
        <w:tabs>
          <w:tab w:val="left" w:pos="3969"/>
        </w:tabs>
        <w:rPr>
          <w:color w:val="222222"/>
          <w:shd w:val="clear" w:color="auto" w:fill="FFFFFF"/>
        </w:rPr>
      </w:pPr>
      <w:r>
        <w:rPr>
          <w:color w:val="222222"/>
          <w:shd w:val="clear" w:color="auto" w:fill="FFFFFF"/>
        </w:rPr>
        <w:t>Major</w:t>
      </w:r>
      <w:r w:rsidR="00F06EEC">
        <w:rPr>
          <w:color w:val="222222"/>
          <w:shd w:val="clear" w:color="auto" w:fill="FFFFFF"/>
        </w:rPr>
        <w:t xml:space="preserve"> and minor</w:t>
      </w:r>
      <w:r>
        <w:rPr>
          <w:color w:val="222222"/>
          <w:shd w:val="clear" w:color="auto" w:fill="FFFFFF"/>
        </w:rPr>
        <w:t xml:space="preserve"> community</w:t>
      </w:r>
      <w:r>
        <w:rPr>
          <w:color w:val="222222"/>
          <w:shd w:val="clear" w:color="auto" w:fill="FFFFFF"/>
        </w:rPr>
        <w:tab/>
        <w:t>5 km</w:t>
      </w:r>
    </w:p>
    <w:p w:rsidR="00F06EEC" w:rsidRDefault="00F06EEC" w:rsidP="00F06EEC">
      <w:pPr>
        <w:pStyle w:val="ListParagraph"/>
        <w:numPr>
          <w:ilvl w:val="0"/>
          <w:numId w:val="29"/>
        </w:numPr>
        <w:tabs>
          <w:tab w:val="left" w:pos="3969"/>
        </w:tabs>
        <w:rPr>
          <w:color w:val="222222"/>
          <w:shd w:val="clear" w:color="auto" w:fill="FFFFFF"/>
        </w:rPr>
      </w:pPr>
      <w:r>
        <w:rPr>
          <w:color w:val="222222"/>
          <w:shd w:val="clear" w:color="auto" w:fill="FFFFFF"/>
        </w:rPr>
        <w:t>Family community</w:t>
      </w:r>
      <w:r>
        <w:rPr>
          <w:color w:val="222222"/>
          <w:shd w:val="clear" w:color="auto" w:fill="FFFFFF"/>
        </w:rPr>
        <w:tab/>
        <w:t>2 km</w:t>
      </w:r>
    </w:p>
    <w:p w:rsidR="00F06EEC" w:rsidRDefault="00F06EEC" w:rsidP="00F06EEC">
      <w:pPr>
        <w:pStyle w:val="ListParagraph"/>
        <w:numPr>
          <w:ilvl w:val="0"/>
          <w:numId w:val="29"/>
        </w:numPr>
        <w:tabs>
          <w:tab w:val="left" w:pos="3969"/>
        </w:tabs>
        <w:rPr>
          <w:color w:val="222222"/>
          <w:shd w:val="clear" w:color="auto" w:fill="FFFFFF"/>
        </w:rPr>
      </w:pPr>
      <w:r>
        <w:rPr>
          <w:color w:val="222222"/>
          <w:shd w:val="clear" w:color="auto" w:fill="FFFFFF"/>
        </w:rPr>
        <w:t>Road segment</w:t>
      </w:r>
      <w:r>
        <w:rPr>
          <w:color w:val="222222"/>
          <w:shd w:val="clear" w:color="auto" w:fill="FFFFFF"/>
        </w:rPr>
        <w:tab/>
        <w:t>0.1 km</w:t>
      </w:r>
    </w:p>
    <w:p w:rsidR="00177514" w:rsidRPr="00F06EEC" w:rsidRDefault="00F06EEC" w:rsidP="00177514">
      <w:pPr>
        <w:pStyle w:val="ListParagraph"/>
        <w:numPr>
          <w:ilvl w:val="0"/>
          <w:numId w:val="29"/>
        </w:numPr>
        <w:tabs>
          <w:tab w:val="left" w:pos="3969"/>
        </w:tabs>
        <w:rPr>
          <w:color w:val="222222"/>
          <w:shd w:val="clear" w:color="auto" w:fill="FFFFFF"/>
        </w:rPr>
      </w:pPr>
      <w:r>
        <w:rPr>
          <w:color w:val="222222"/>
          <w:shd w:val="clear" w:color="auto" w:fill="FFFFFF"/>
        </w:rPr>
        <w:t>Mining site</w:t>
      </w:r>
      <w:r>
        <w:rPr>
          <w:color w:val="222222"/>
          <w:shd w:val="clear" w:color="auto" w:fill="FFFFFF"/>
        </w:rPr>
        <w:tab/>
        <w:t>20 km</w:t>
      </w:r>
    </w:p>
    <w:p w:rsidR="00FA7FBE" w:rsidRDefault="00FA7FBE" w:rsidP="00177514">
      <w:pPr>
        <w:rPr>
          <w:color w:val="222222"/>
          <w:shd w:val="clear" w:color="auto" w:fill="FFFFFF"/>
        </w:rPr>
      </w:pPr>
      <w:r>
        <w:rPr>
          <w:color w:val="222222"/>
          <w:shd w:val="clear" w:color="auto" w:fill="FFFFFF"/>
        </w:rPr>
        <w:t>State suburbs were used as residual dump zones</w:t>
      </w:r>
      <w:r w:rsidR="00F06EEC">
        <w:rPr>
          <w:color w:val="222222"/>
          <w:shd w:val="clear" w:color="auto" w:fill="FFFFFF"/>
        </w:rPr>
        <w:t xml:space="preserve">, to which </w:t>
      </w:r>
      <w:r w:rsidR="00B41177">
        <w:rPr>
          <w:color w:val="222222"/>
          <w:shd w:val="clear" w:color="auto" w:fill="FFFFFF"/>
        </w:rPr>
        <w:t xml:space="preserve">only </w:t>
      </w:r>
      <w:r w:rsidR="00F06EEC">
        <w:rPr>
          <w:color w:val="222222"/>
          <w:shd w:val="clear" w:color="auto" w:fill="FFFFFF"/>
        </w:rPr>
        <w:t>four per cent of trip</w:t>
      </w:r>
      <w:r w:rsidR="00B41177">
        <w:rPr>
          <w:color w:val="222222"/>
          <w:shd w:val="clear" w:color="auto" w:fill="FFFFFF"/>
        </w:rPr>
        <w:t>-ends</w:t>
      </w:r>
      <w:r w:rsidR="00F06EEC">
        <w:rPr>
          <w:color w:val="222222"/>
          <w:shd w:val="clear" w:color="auto" w:fill="FFFFFF"/>
        </w:rPr>
        <w:t xml:space="preserve"> were allocated</w:t>
      </w:r>
      <w:r w:rsidR="00C01D94">
        <w:rPr>
          <w:color w:val="222222"/>
          <w:shd w:val="clear" w:color="auto" w:fill="FFFFFF"/>
        </w:rPr>
        <w:t xml:space="preserve">. </w:t>
      </w:r>
    </w:p>
    <w:p w:rsidR="00FA7FBE" w:rsidRPr="00F06EEC" w:rsidRDefault="00F06EEC" w:rsidP="00F921AB">
      <w:pPr>
        <w:keepNext/>
        <w:rPr>
          <w:b/>
          <w:i/>
        </w:rPr>
      </w:pPr>
      <w:r>
        <w:rPr>
          <w:b/>
          <w:i/>
        </w:rPr>
        <w:t xml:space="preserve">3.2.4. </w:t>
      </w:r>
      <w:r w:rsidR="00FA7FBE" w:rsidRPr="00F06EEC">
        <w:rPr>
          <w:b/>
          <w:i/>
        </w:rPr>
        <w:t>Trip linking</w:t>
      </w:r>
    </w:p>
    <w:p w:rsidR="00B14B00" w:rsidRDefault="00F06EEC" w:rsidP="005A0BDB">
      <w:pPr>
        <w:rPr>
          <w:lang w:eastAsia="en-US"/>
        </w:rPr>
      </w:pPr>
      <w:r>
        <w:rPr>
          <w:lang w:eastAsia="en-US"/>
        </w:rPr>
        <w:t xml:space="preserve">Over 151,000 ignition events were logged in the </w:t>
      </w:r>
      <w:r w:rsidR="00342935">
        <w:rPr>
          <w:lang w:eastAsia="en-US"/>
        </w:rPr>
        <w:t>six-month</w:t>
      </w:r>
      <w:r>
        <w:rPr>
          <w:lang w:eastAsia="en-US"/>
        </w:rPr>
        <w:t xml:space="preserve"> survey period</w:t>
      </w:r>
      <w:r w:rsidR="00C01D94">
        <w:rPr>
          <w:lang w:eastAsia="en-US"/>
        </w:rPr>
        <w:t xml:space="preserve">. </w:t>
      </w:r>
      <w:r w:rsidR="00342935">
        <w:rPr>
          <w:lang w:eastAsia="en-US"/>
        </w:rPr>
        <w:t>Each vehicle trip is in theory a combination of an ignition-on event at the origin and an ignition-off event at the destination</w:t>
      </w:r>
      <w:r w:rsidR="00C01D94">
        <w:rPr>
          <w:lang w:eastAsia="en-US"/>
        </w:rPr>
        <w:t xml:space="preserve">. </w:t>
      </w:r>
      <w:r w:rsidR="00342935">
        <w:rPr>
          <w:lang w:eastAsia="en-US"/>
        </w:rPr>
        <w:t>Redundant ignition events, sequential events within a short time period and occurring at the same location, were eliminated, resulting in just under 55,000 vehicle trips</w:t>
      </w:r>
      <w:r w:rsidR="00C01D94">
        <w:rPr>
          <w:lang w:eastAsia="en-US"/>
        </w:rPr>
        <w:t xml:space="preserve">. </w:t>
      </w:r>
    </w:p>
    <w:p w:rsidR="00342935" w:rsidRDefault="009F0F8C" w:rsidP="009F0F8C">
      <w:pPr>
        <w:keepNext/>
        <w:rPr>
          <w:lang w:eastAsia="en-US"/>
        </w:rPr>
      </w:pPr>
      <w:r>
        <w:rPr>
          <w:lang w:eastAsia="en-US"/>
        </w:rPr>
        <w:t>Further trip linking was undertaken to convert individual trips into journeys by removing intermediate stops less than 30 minutes in duration</w:t>
      </w:r>
      <w:r w:rsidR="00C01D94">
        <w:rPr>
          <w:lang w:eastAsia="en-US"/>
        </w:rPr>
        <w:t xml:space="preserve">. </w:t>
      </w:r>
      <w:r>
        <w:rPr>
          <w:lang w:eastAsia="en-US"/>
        </w:rPr>
        <w:t>Journey attributes were:</w:t>
      </w:r>
    </w:p>
    <w:p w:rsidR="009F0F8C" w:rsidRDefault="009F0F8C" w:rsidP="009F0F8C">
      <w:pPr>
        <w:numPr>
          <w:ilvl w:val="0"/>
          <w:numId w:val="16"/>
        </w:numPr>
      </w:pPr>
      <w:r>
        <w:t>Vehicle</w:t>
      </w:r>
    </w:p>
    <w:p w:rsidR="009F0F8C" w:rsidRDefault="009F0F8C" w:rsidP="009F0F8C">
      <w:pPr>
        <w:numPr>
          <w:ilvl w:val="0"/>
          <w:numId w:val="16"/>
        </w:numPr>
      </w:pPr>
      <w:r>
        <w:t>Date (a journey by definition did not extend over more than one day)</w:t>
      </w:r>
    </w:p>
    <w:p w:rsidR="009F0F8C" w:rsidRDefault="009F0F8C" w:rsidP="009F0F8C">
      <w:pPr>
        <w:numPr>
          <w:ilvl w:val="0"/>
          <w:numId w:val="16"/>
        </w:numPr>
      </w:pPr>
      <w:r>
        <w:t>Start and end times</w:t>
      </w:r>
    </w:p>
    <w:p w:rsidR="009F0F8C" w:rsidRDefault="009F0F8C" w:rsidP="009F0F8C">
      <w:pPr>
        <w:numPr>
          <w:ilvl w:val="0"/>
          <w:numId w:val="16"/>
        </w:numPr>
        <w:rPr>
          <w:lang w:eastAsia="en-US"/>
        </w:rPr>
      </w:pPr>
      <w:r>
        <w:t>Origin and destination locality</w:t>
      </w:r>
    </w:p>
    <w:p w:rsidR="009F0F8C" w:rsidRDefault="009F0F8C" w:rsidP="009F0F8C">
      <w:pPr>
        <w:numPr>
          <w:ilvl w:val="0"/>
          <w:numId w:val="16"/>
        </w:numPr>
        <w:rPr>
          <w:lang w:eastAsia="en-US"/>
        </w:rPr>
      </w:pPr>
      <w:r>
        <w:t>Number and total duration of intermediate stops</w:t>
      </w:r>
    </w:p>
    <w:p w:rsidR="009F0F8C" w:rsidRDefault="009F0F8C" w:rsidP="009F0F8C">
      <w:pPr>
        <w:numPr>
          <w:ilvl w:val="0"/>
          <w:numId w:val="16"/>
        </w:numPr>
        <w:rPr>
          <w:lang w:eastAsia="en-US"/>
        </w:rPr>
      </w:pPr>
      <w:r>
        <w:t>Total travelling time</w:t>
      </w:r>
    </w:p>
    <w:p w:rsidR="009F0F8C" w:rsidRDefault="009F0F8C" w:rsidP="009F0F8C">
      <w:pPr>
        <w:numPr>
          <w:ilvl w:val="0"/>
          <w:numId w:val="16"/>
        </w:numPr>
        <w:rPr>
          <w:lang w:eastAsia="en-US"/>
        </w:rPr>
      </w:pPr>
      <w:r>
        <w:t>Total distance</w:t>
      </w:r>
    </w:p>
    <w:p w:rsidR="009F0F8C" w:rsidRDefault="009F0F8C" w:rsidP="009F0F8C">
      <w:pPr>
        <w:numPr>
          <w:ilvl w:val="0"/>
          <w:numId w:val="16"/>
        </w:numPr>
        <w:rPr>
          <w:lang w:eastAsia="en-US"/>
        </w:rPr>
      </w:pPr>
      <w:r>
        <w:t xml:space="preserve">Average moving speed. </w:t>
      </w:r>
    </w:p>
    <w:p w:rsidR="009F0F8C" w:rsidRDefault="00B41177" w:rsidP="005A0BDB">
      <w:pPr>
        <w:rPr>
          <w:lang w:eastAsia="en-US"/>
        </w:rPr>
      </w:pPr>
      <w:r>
        <w:rPr>
          <w:lang w:eastAsia="en-US"/>
        </w:rPr>
        <w:t xml:space="preserve">Just over 19,000 journeys were undertaken in the six-month study period. </w:t>
      </w:r>
    </w:p>
    <w:p w:rsidR="00CE52F3" w:rsidRDefault="00FA7FBE" w:rsidP="00C32DE2">
      <w:pPr>
        <w:pStyle w:val="SectionHeadingLevel1"/>
        <w:keepNext/>
      </w:pPr>
      <w:r>
        <w:t>4. Study a</w:t>
      </w:r>
      <w:r w:rsidR="00CE52F3">
        <w:t>nalysis</w:t>
      </w:r>
    </w:p>
    <w:p w:rsidR="005F75E6" w:rsidRDefault="00C32DE2" w:rsidP="0068179A">
      <w:pPr>
        <w:rPr>
          <w:lang w:eastAsia="en-US"/>
        </w:rPr>
      </w:pPr>
      <w:r>
        <w:rPr>
          <w:lang w:eastAsia="en-US"/>
        </w:rPr>
        <w:t>The study involved substantial and detailed analysis of vehicle use, travel patterns, occupancy, purpose of travel, using individual data sources and combined analysis</w:t>
      </w:r>
      <w:r w:rsidR="00C01D94">
        <w:rPr>
          <w:lang w:eastAsia="en-US"/>
        </w:rPr>
        <w:t xml:space="preserve">. </w:t>
      </w:r>
      <w:r>
        <w:rPr>
          <w:lang w:eastAsia="en-US"/>
        </w:rPr>
        <w:t>This section provides samples of the types of analysis undertaken</w:t>
      </w:r>
      <w:r w:rsidR="00C01D94">
        <w:rPr>
          <w:lang w:eastAsia="en-US"/>
        </w:rPr>
        <w:t xml:space="preserve">. </w:t>
      </w:r>
    </w:p>
    <w:p w:rsidR="005F75E6" w:rsidRDefault="0069118B" w:rsidP="00C32DE2">
      <w:pPr>
        <w:pStyle w:val="SectionHeadingLevel2"/>
        <w:keepNext/>
      </w:pPr>
      <w:r>
        <w:t>4.1.</w:t>
      </w:r>
      <w:r w:rsidR="00117651">
        <w:t xml:space="preserve"> </w:t>
      </w:r>
      <w:r>
        <w:t>The fleet</w:t>
      </w:r>
    </w:p>
    <w:p w:rsidR="0069118B" w:rsidRDefault="0069118B" w:rsidP="00C01D94">
      <w:pPr>
        <w:keepLines/>
        <w:rPr>
          <w:lang w:eastAsia="en-US"/>
        </w:rPr>
      </w:pPr>
      <w:r>
        <w:rPr>
          <w:lang w:eastAsia="en-US"/>
        </w:rPr>
        <w:t xml:space="preserve">In November 2013, CLC maintained a fleet of 133 vehicles. </w:t>
      </w:r>
      <w:r w:rsidR="00E37A73">
        <w:rPr>
          <w:lang w:eastAsia="en-US"/>
        </w:rPr>
        <w:t>Twenty-one</w:t>
      </w:r>
      <w:r>
        <w:rPr>
          <w:lang w:eastAsia="en-US"/>
        </w:rPr>
        <w:t xml:space="preserve"> of these vehicles were specialist vehicles: trucks, ATVs used by Ranger groups and various earthmoving equipment</w:t>
      </w:r>
      <w:r w:rsidR="00C01D94">
        <w:rPr>
          <w:lang w:eastAsia="en-US"/>
        </w:rPr>
        <w:t xml:space="preserve">. </w:t>
      </w:r>
      <w:r>
        <w:rPr>
          <w:lang w:eastAsia="en-US"/>
        </w:rPr>
        <w:t>The remaining 1</w:t>
      </w:r>
      <w:r w:rsidR="00E81972">
        <w:rPr>
          <w:lang w:eastAsia="en-US"/>
        </w:rPr>
        <w:t>05</w:t>
      </w:r>
      <w:r>
        <w:rPr>
          <w:lang w:eastAsia="en-US"/>
        </w:rPr>
        <w:t xml:space="preserve"> vehicles were passenger-carrying vehicles, most of which also have the capability of carrying a significant load of goods and materials</w:t>
      </w:r>
      <w:r w:rsidR="00E37A73">
        <w:rPr>
          <w:lang w:eastAsia="en-US"/>
        </w:rPr>
        <w:t xml:space="preserve">, whose locations are shown on </w:t>
      </w:r>
      <w:r w:rsidR="00E37A73" w:rsidRPr="00314DD8">
        <w:rPr>
          <w:b/>
          <w:lang w:eastAsia="en-US"/>
        </w:rPr>
        <w:t>Table 1</w:t>
      </w:r>
      <w:r w:rsidR="00C01D94">
        <w:rPr>
          <w:lang w:eastAsia="en-US"/>
        </w:rPr>
        <w:t xml:space="preserve">. </w:t>
      </w:r>
      <w:r w:rsidR="00E37A73" w:rsidRPr="00314DD8">
        <w:rPr>
          <w:b/>
          <w:lang w:eastAsia="en-US"/>
        </w:rPr>
        <w:t>Figure 3</w:t>
      </w:r>
      <w:r w:rsidR="00E37A73">
        <w:rPr>
          <w:lang w:eastAsia="en-US"/>
        </w:rPr>
        <w:t xml:space="preserve"> shows the </w:t>
      </w:r>
      <w:r w:rsidR="00314DD8">
        <w:rPr>
          <w:lang w:eastAsia="en-US"/>
        </w:rPr>
        <w:t xml:space="preserve">typical </w:t>
      </w:r>
      <w:r w:rsidR="00E37A73">
        <w:rPr>
          <w:lang w:eastAsia="en-US"/>
        </w:rPr>
        <w:t>mix of CLC vehicles at a major meeting</w:t>
      </w:r>
      <w:r>
        <w:rPr>
          <w:lang w:eastAsia="en-US"/>
        </w:rPr>
        <w:t xml:space="preserve">. </w:t>
      </w:r>
    </w:p>
    <w:p w:rsidR="0069118B" w:rsidRDefault="0069118B" w:rsidP="0069118B">
      <w:pPr>
        <w:pStyle w:val="Captionstyle"/>
        <w:keepNext/>
      </w:pPr>
      <w:r>
        <w:lastRenderedPageBreak/>
        <w:t xml:space="preserve">Table 1: </w:t>
      </w:r>
      <w:r w:rsidRPr="0069118B">
        <w:t xml:space="preserve">Summary of CLC passenger vehicle fleet </w:t>
      </w:r>
    </w:p>
    <w:tbl>
      <w:tblPr>
        <w:tblW w:w="9062"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117"/>
        <w:gridCol w:w="1389"/>
        <w:gridCol w:w="1389"/>
        <w:gridCol w:w="1389"/>
        <w:gridCol w:w="1389"/>
        <w:gridCol w:w="1389"/>
      </w:tblGrid>
      <w:tr w:rsidR="008C42B6" w:rsidRPr="005C3F36" w:rsidTr="000E6908">
        <w:trPr>
          <w:trHeight w:val="370"/>
        </w:trPr>
        <w:tc>
          <w:tcPr>
            <w:tcW w:w="2117" w:type="dxa"/>
            <w:shd w:val="clear" w:color="auto" w:fill="000000"/>
            <w:vAlign w:val="center"/>
          </w:tcPr>
          <w:p w:rsidR="008C42B6" w:rsidRPr="005C3F36" w:rsidRDefault="008C42B6" w:rsidP="00DA3320">
            <w:pPr>
              <w:keepNext/>
              <w:jc w:val="left"/>
              <w:rPr>
                <w:b/>
                <w:bCs/>
                <w:color w:val="FFFFFF"/>
                <w:szCs w:val="22"/>
              </w:rPr>
            </w:pPr>
            <w:r>
              <w:rPr>
                <w:b/>
                <w:bCs/>
                <w:color w:val="FFFFFF"/>
                <w:szCs w:val="22"/>
              </w:rPr>
              <w:t>Garage location</w:t>
            </w:r>
          </w:p>
        </w:tc>
        <w:tc>
          <w:tcPr>
            <w:tcW w:w="6945" w:type="dxa"/>
            <w:gridSpan w:val="5"/>
            <w:shd w:val="clear" w:color="auto" w:fill="000000"/>
          </w:tcPr>
          <w:p w:rsidR="008C42B6" w:rsidRPr="005C3F36" w:rsidRDefault="008C42B6" w:rsidP="00DA3320">
            <w:pPr>
              <w:keepNext/>
              <w:jc w:val="center"/>
              <w:rPr>
                <w:b/>
                <w:bCs/>
                <w:color w:val="FFFFFF"/>
                <w:szCs w:val="22"/>
              </w:rPr>
            </w:pPr>
            <w:r>
              <w:rPr>
                <w:b/>
                <w:bCs/>
                <w:color w:val="FFFFFF"/>
                <w:szCs w:val="22"/>
              </w:rPr>
              <w:t>Vehicle type</w:t>
            </w:r>
          </w:p>
        </w:tc>
      </w:tr>
      <w:tr w:rsidR="0069118B" w:rsidRPr="005C3F36" w:rsidTr="008C42B6">
        <w:trPr>
          <w:trHeight w:val="370"/>
        </w:trPr>
        <w:tc>
          <w:tcPr>
            <w:tcW w:w="2117" w:type="dxa"/>
            <w:shd w:val="clear" w:color="auto" w:fill="000000"/>
            <w:vAlign w:val="center"/>
          </w:tcPr>
          <w:p w:rsidR="0069118B" w:rsidRDefault="0069118B" w:rsidP="00DA3320">
            <w:pPr>
              <w:keepNext/>
              <w:jc w:val="left"/>
              <w:rPr>
                <w:b/>
                <w:bCs/>
                <w:color w:val="FFFFFF"/>
                <w:szCs w:val="22"/>
              </w:rPr>
            </w:pPr>
          </w:p>
        </w:tc>
        <w:tc>
          <w:tcPr>
            <w:tcW w:w="1389" w:type="dxa"/>
            <w:shd w:val="clear" w:color="auto" w:fill="000000"/>
          </w:tcPr>
          <w:p w:rsidR="0069118B" w:rsidRDefault="0069118B" w:rsidP="00DA3320">
            <w:pPr>
              <w:keepNext/>
              <w:jc w:val="center"/>
              <w:rPr>
                <w:b/>
                <w:bCs/>
                <w:color w:val="FFFFFF"/>
                <w:szCs w:val="22"/>
              </w:rPr>
            </w:pPr>
            <w:r>
              <w:rPr>
                <w:b/>
                <w:bCs/>
                <w:color w:val="FFFFFF"/>
                <w:szCs w:val="22"/>
              </w:rPr>
              <w:t>Troopies</w:t>
            </w:r>
          </w:p>
        </w:tc>
        <w:tc>
          <w:tcPr>
            <w:tcW w:w="1389" w:type="dxa"/>
            <w:shd w:val="clear" w:color="auto" w:fill="000000"/>
          </w:tcPr>
          <w:p w:rsidR="0069118B" w:rsidRPr="005C3F36" w:rsidRDefault="0069118B" w:rsidP="00DA3320">
            <w:pPr>
              <w:keepNext/>
              <w:jc w:val="center"/>
              <w:rPr>
                <w:b/>
                <w:bCs/>
                <w:color w:val="FFFFFF"/>
                <w:szCs w:val="22"/>
              </w:rPr>
            </w:pPr>
            <w:r>
              <w:rPr>
                <w:b/>
                <w:bCs/>
                <w:color w:val="FFFFFF"/>
                <w:szCs w:val="22"/>
              </w:rPr>
              <w:t>Other 4WD</w:t>
            </w:r>
          </w:p>
        </w:tc>
        <w:tc>
          <w:tcPr>
            <w:tcW w:w="1389" w:type="dxa"/>
            <w:shd w:val="clear" w:color="auto" w:fill="000000"/>
          </w:tcPr>
          <w:p w:rsidR="0069118B" w:rsidRPr="005C3F36" w:rsidRDefault="001711AB" w:rsidP="00DA3320">
            <w:pPr>
              <w:keepNext/>
              <w:jc w:val="center"/>
              <w:rPr>
                <w:b/>
                <w:bCs/>
                <w:color w:val="FFFFFF"/>
                <w:szCs w:val="22"/>
              </w:rPr>
            </w:pPr>
            <w:r>
              <w:rPr>
                <w:b/>
                <w:bCs/>
                <w:color w:val="FFFFFF"/>
                <w:szCs w:val="22"/>
              </w:rPr>
              <w:t>Trayback</w:t>
            </w:r>
            <w:r w:rsidR="0069118B">
              <w:rPr>
                <w:b/>
                <w:bCs/>
                <w:color w:val="FFFFFF"/>
                <w:szCs w:val="22"/>
              </w:rPr>
              <w:t xml:space="preserve"> (single and dual cab)</w:t>
            </w:r>
          </w:p>
        </w:tc>
        <w:tc>
          <w:tcPr>
            <w:tcW w:w="1389" w:type="dxa"/>
            <w:shd w:val="clear" w:color="auto" w:fill="000000"/>
          </w:tcPr>
          <w:p w:rsidR="0069118B" w:rsidRPr="005C3F36" w:rsidRDefault="0069118B" w:rsidP="00DA3320">
            <w:pPr>
              <w:keepNext/>
              <w:jc w:val="center"/>
              <w:rPr>
                <w:b/>
                <w:bCs/>
                <w:color w:val="FFFFFF"/>
                <w:szCs w:val="22"/>
              </w:rPr>
            </w:pPr>
            <w:r>
              <w:rPr>
                <w:b/>
                <w:bCs/>
                <w:color w:val="FFFFFF"/>
                <w:szCs w:val="22"/>
              </w:rPr>
              <w:t>Sedan /wagon</w:t>
            </w:r>
          </w:p>
        </w:tc>
        <w:tc>
          <w:tcPr>
            <w:tcW w:w="1389" w:type="dxa"/>
            <w:shd w:val="clear" w:color="auto" w:fill="000000"/>
            <w:vAlign w:val="center"/>
          </w:tcPr>
          <w:p w:rsidR="0069118B" w:rsidRPr="005C3F36" w:rsidRDefault="0069118B" w:rsidP="00DA3320">
            <w:pPr>
              <w:keepNext/>
              <w:jc w:val="center"/>
              <w:rPr>
                <w:b/>
                <w:bCs/>
                <w:color w:val="FFFFFF"/>
                <w:szCs w:val="22"/>
              </w:rPr>
            </w:pPr>
            <w:r>
              <w:rPr>
                <w:b/>
                <w:bCs/>
                <w:color w:val="FFFFFF"/>
                <w:szCs w:val="22"/>
              </w:rPr>
              <w:t>Total</w:t>
            </w:r>
          </w:p>
        </w:tc>
      </w:tr>
      <w:tr w:rsidR="0069118B" w:rsidRPr="005C3F36" w:rsidTr="008C42B6">
        <w:trPr>
          <w:trHeight w:val="370"/>
        </w:trPr>
        <w:tc>
          <w:tcPr>
            <w:tcW w:w="2117" w:type="dxa"/>
            <w:tcBorders>
              <w:top w:val="single" w:sz="8" w:space="0" w:color="000000"/>
              <w:left w:val="single" w:sz="8" w:space="0" w:color="000000"/>
              <w:bottom w:val="single" w:sz="8" w:space="0" w:color="000000"/>
            </w:tcBorders>
          </w:tcPr>
          <w:p w:rsidR="0069118B" w:rsidRPr="0069118B" w:rsidRDefault="0069118B" w:rsidP="00DA3320">
            <w:pPr>
              <w:keepNext/>
              <w:rPr>
                <w:lang w:eastAsia="en-US"/>
              </w:rPr>
            </w:pPr>
            <w:r w:rsidRPr="0069118B">
              <w:rPr>
                <w:lang w:eastAsia="en-US"/>
              </w:rPr>
              <w:t>Alice Springs</w:t>
            </w:r>
          </w:p>
        </w:tc>
        <w:tc>
          <w:tcPr>
            <w:tcW w:w="1389" w:type="dxa"/>
            <w:tcBorders>
              <w:top w:val="single" w:sz="8" w:space="0" w:color="000000"/>
              <w:bottom w:val="single" w:sz="8" w:space="0" w:color="000000"/>
            </w:tcBorders>
          </w:tcPr>
          <w:p w:rsidR="0069118B" w:rsidRPr="0069118B" w:rsidRDefault="0069118B" w:rsidP="00DA3320">
            <w:pPr>
              <w:keepNext/>
              <w:jc w:val="center"/>
              <w:rPr>
                <w:lang w:eastAsia="en-US"/>
              </w:rPr>
            </w:pPr>
            <w:r w:rsidRPr="0069118B">
              <w:rPr>
                <w:lang w:eastAsia="en-US"/>
              </w:rPr>
              <w:t>43</w:t>
            </w:r>
          </w:p>
        </w:tc>
        <w:tc>
          <w:tcPr>
            <w:tcW w:w="1389" w:type="dxa"/>
            <w:tcBorders>
              <w:top w:val="single" w:sz="8" w:space="0" w:color="000000"/>
              <w:bottom w:val="single" w:sz="8" w:space="0" w:color="000000"/>
            </w:tcBorders>
          </w:tcPr>
          <w:p w:rsidR="0069118B" w:rsidRPr="0069118B" w:rsidRDefault="0069118B" w:rsidP="00DA3320">
            <w:pPr>
              <w:keepNext/>
              <w:jc w:val="center"/>
              <w:rPr>
                <w:lang w:eastAsia="en-US"/>
              </w:rPr>
            </w:pPr>
            <w:r w:rsidRPr="0069118B">
              <w:rPr>
                <w:lang w:eastAsia="en-US"/>
              </w:rPr>
              <w:t>5</w:t>
            </w:r>
          </w:p>
        </w:tc>
        <w:tc>
          <w:tcPr>
            <w:tcW w:w="1389" w:type="dxa"/>
            <w:tcBorders>
              <w:top w:val="single" w:sz="8" w:space="0" w:color="000000"/>
              <w:bottom w:val="single" w:sz="8" w:space="0" w:color="000000"/>
            </w:tcBorders>
          </w:tcPr>
          <w:p w:rsidR="0069118B" w:rsidRPr="0069118B" w:rsidRDefault="0069118B" w:rsidP="00DA3320">
            <w:pPr>
              <w:keepNext/>
              <w:jc w:val="center"/>
              <w:rPr>
                <w:lang w:eastAsia="en-US"/>
              </w:rPr>
            </w:pPr>
            <w:r>
              <w:rPr>
                <w:lang w:eastAsia="en-US"/>
              </w:rPr>
              <w:t>20</w:t>
            </w:r>
          </w:p>
        </w:tc>
        <w:tc>
          <w:tcPr>
            <w:tcW w:w="1389" w:type="dxa"/>
            <w:tcBorders>
              <w:top w:val="single" w:sz="8" w:space="0" w:color="000000"/>
              <w:bottom w:val="single" w:sz="8" w:space="0" w:color="000000"/>
            </w:tcBorders>
          </w:tcPr>
          <w:p w:rsidR="0069118B" w:rsidRPr="0069118B" w:rsidRDefault="0069118B" w:rsidP="00DA3320">
            <w:pPr>
              <w:keepNext/>
              <w:jc w:val="center"/>
              <w:rPr>
                <w:lang w:eastAsia="en-US"/>
              </w:rPr>
            </w:pPr>
            <w:r w:rsidRPr="0069118B">
              <w:rPr>
                <w:lang w:eastAsia="en-US"/>
              </w:rPr>
              <w:t>9</w:t>
            </w:r>
          </w:p>
        </w:tc>
        <w:tc>
          <w:tcPr>
            <w:tcW w:w="1389" w:type="dxa"/>
            <w:tcBorders>
              <w:top w:val="single" w:sz="8" w:space="0" w:color="000000"/>
              <w:bottom w:val="single" w:sz="8" w:space="0" w:color="000000"/>
              <w:right w:val="single" w:sz="8" w:space="0" w:color="000000"/>
            </w:tcBorders>
          </w:tcPr>
          <w:p w:rsidR="0069118B" w:rsidRPr="0069118B" w:rsidRDefault="0069118B" w:rsidP="00DA3320">
            <w:pPr>
              <w:keepNext/>
              <w:jc w:val="center"/>
              <w:rPr>
                <w:lang w:eastAsia="en-US"/>
              </w:rPr>
            </w:pPr>
            <w:r w:rsidRPr="0069118B">
              <w:rPr>
                <w:lang w:eastAsia="en-US"/>
              </w:rPr>
              <w:t>77</w:t>
            </w:r>
          </w:p>
        </w:tc>
      </w:tr>
      <w:tr w:rsidR="0069118B" w:rsidRPr="005C3F36" w:rsidTr="008C42B6">
        <w:trPr>
          <w:trHeight w:val="370"/>
        </w:trPr>
        <w:tc>
          <w:tcPr>
            <w:tcW w:w="2117" w:type="dxa"/>
          </w:tcPr>
          <w:p w:rsidR="0069118B" w:rsidRPr="0069118B" w:rsidRDefault="0069118B" w:rsidP="00DA3320">
            <w:pPr>
              <w:keepNext/>
              <w:rPr>
                <w:lang w:eastAsia="en-US"/>
              </w:rPr>
            </w:pPr>
            <w:r w:rsidRPr="0069118B">
              <w:rPr>
                <w:lang w:eastAsia="en-US"/>
              </w:rPr>
              <w:t>Regional Offices</w:t>
            </w:r>
          </w:p>
        </w:tc>
        <w:tc>
          <w:tcPr>
            <w:tcW w:w="1389" w:type="dxa"/>
          </w:tcPr>
          <w:p w:rsidR="0069118B" w:rsidRPr="0069118B" w:rsidRDefault="0069118B" w:rsidP="00DA3320">
            <w:pPr>
              <w:keepNext/>
              <w:jc w:val="center"/>
              <w:rPr>
                <w:lang w:eastAsia="en-US"/>
              </w:rPr>
            </w:pPr>
            <w:r w:rsidRPr="0069118B">
              <w:rPr>
                <w:lang w:eastAsia="en-US"/>
              </w:rPr>
              <w:t>22</w:t>
            </w:r>
          </w:p>
        </w:tc>
        <w:tc>
          <w:tcPr>
            <w:tcW w:w="1389" w:type="dxa"/>
          </w:tcPr>
          <w:p w:rsidR="0069118B" w:rsidRPr="0069118B" w:rsidRDefault="0069118B" w:rsidP="00DA3320">
            <w:pPr>
              <w:keepNext/>
              <w:jc w:val="center"/>
              <w:rPr>
                <w:lang w:eastAsia="en-US"/>
              </w:rPr>
            </w:pPr>
            <w:r w:rsidRPr="0069118B">
              <w:rPr>
                <w:lang w:eastAsia="en-US"/>
              </w:rPr>
              <w:t>0</w:t>
            </w:r>
          </w:p>
        </w:tc>
        <w:tc>
          <w:tcPr>
            <w:tcW w:w="1389" w:type="dxa"/>
          </w:tcPr>
          <w:p w:rsidR="0069118B" w:rsidRPr="0069118B" w:rsidRDefault="0069118B" w:rsidP="00DA3320">
            <w:pPr>
              <w:keepNext/>
              <w:jc w:val="center"/>
              <w:rPr>
                <w:lang w:eastAsia="en-US"/>
              </w:rPr>
            </w:pPr>
            <w:r>
              <w:rPr>
                <w:lang w:eastAsia="en-US"/>
              </w:rPr>
              <w:t>4</w:t>
            </w:r>
          </w:p>
        </w:tc>
        <w:tc>
          <w:tcPr>
            <w:tcW w:w="1389" w:type="dxa"/>
          </w:tcPr>
          <w:p w:rsidR="0069118B" w:rsidRPr="0069118B" w:rsidRDefault="0069118B" w:rsidP="00DA3320">
            <w:pPr>
              <w:keepNext/>
              <w:jc w:val="center"/>
              <w:rPr>
                <w:lang w:eastAsia="en-US"/>
              </w:rPr>
            </w:pPr>
            <w:r w:rsidRPr="0069118B">
              <w:rPr>
                <w:lang w:eastAsia="en-US"/>
              </w:rPr>
              <w:t>1</w:t>
            </w:r>
          </w:p>
        </w:tc>
        <w:tc>
          <w:tcPr>
            <w:tcW w:w="1389" w:type="dxa"/>
          </w:tcPr>
          <w:p w:rsidR="0069118B" w:rsidRPr="0069118B" w:rsidRDefault="0069118B" w:rsidP="00DA3320">
            <w:pPr>
              <w:keepNext/>
              <w:jc w:val="center"/>
              <w:rPr>
                <w:lang w:eastAsia="en-US"/>
              </w:rPr>
            </w:pPr>
            <w:r w:rsidRPr="0069118B">
              <w:rPr>
                <w:lang w:eastAsia="en-US"/>
              </w:rPr>
              <w:t>27</w:t>
            </w:r>
          </w:p>
        </w:tc>
      </w:tr>
      <w:tr w:rsidR="0069118B" w:rsidRPr="005C3F36" w:rsidTr="008C42B6">
        <w:trPr>
          <w:trHeight w:val="370"/>
        </w:trPr>
        <w:tc>
          <w:tcPr>
            <w:tcW w:w="2117" w:type="dxa"/>
            <w:tcBorders>
              <w:top w:val="single" w:sz="8" w:space="0" w:color="000000"/>
              <w:left w:val="single" w:sz="8" w:space="0" w:color="000000"/>
              <w:bottom w:val="single" w:sz="8" w:space="0" w:color="000000"/>
            </w:tcBorders>
          </w:tcPr>
          <w:p w:rsidR="0069118B" w:rsidRPr="0069118B" w:rsidRDefault="0069118B" w:rsidP="00DA3320">
            <w:pPr>
              <w:keepNext/>
              <w:rPr>
                <w:lang w:eastAsia="en-US"/>
              </w:rPr>
            </w:pPr>
            <w:r w:rsidRPr="0069118B">
              <w:rPr>
                <w:lang w:eastAsia="en-US"/>
              </w:rPr>
              <w:t>Ranger groups</w:t>
            </w:r>
          </w:p>
        </w:tc>
        <w:tc>
          <w:tcPr>
            <w:tcW w:w="1389" w:type="dxa"/>
            <w:tcBorders>
              <w:top w:val="single" w:sz="8" w:space="0" w:color="000000"/>
              <w:bottom w:val="single" w:sz="8" w:space="0" w:color="000000"/>
            </w:tcBorders>
          </w:tcPr>
          <w:p w:rsidR="0069118B" w:rsidRPr="0069118B" w:rsidRDefault="0069118B" w:rsidP="00DA3320">
            <w:pPr>
              <w:keepNext/>
              <w:jc w:val="center"/>
              <w:rPr>
                <w:lang w:eastAsia="en-US"/>
              </w:rPr>
            </w:pPr>
            <w:r w:rsidRPr="0069118B">
              <w:rPr>
                <w:lang w:eastAsia="en-US"/>
              </w:rPr>
              <w:t>7</w:t>
            </w:r>
          </w:p>
        </w:tc>
        <w:tc>
          <w:tcPr>
            <w:tcW w:w="1389" w:type="dxa"/>
            <w:tcBorders>
              <w:top w:val="single" w:sz="8" w:space="0" w:color="000000"/>
              <w:bottom w:val="single" w:sz="8" w:space="0" w:color="000000"/>
            </w:tcBorders>
          </w:tcPr>
          <w:p w:rsidR="0069118B" w:rsidRPr="0069118B" w:rsidRDefault="0069118B" w:rsidP="00DA3320">
            <w:pPr>
              <w:keepNext/>
              <w:jc w:val="center"/>
              <w:rPr>
                <w:lang w:eastAsia="en-US"/>
              </w:rPr>
            </w:pPr>
            <w:r w:rsidRPr="0069118B">
              <w:rPr>
                <w:lang w:eastAsia="en-US"/>
              </w:rPr>
              <w:t>0</w:t>
            </w:r>
          </w:p>
        </w:tc>
        <w:tc>
          <w:tcPr>
            <w:tcW w:w="1389" w:type="dxa"/>
            <w:tcBorders>
              <w:top w:val="single" w:sz="8" w:space="0" w:color="000000"/>
              <w:bottom w:val="single" w:sz="8" w:space="0" w:color="000000"/>
            </w:tcBorders>
          </w:tcPr>
          <w:p w:rsidR="0069118B" w:rsidRPr="0069118B" w:rsidRDefault="0069118B" w:rsidP="00DA3320">
            <w:pPr>
              <w:keepNext/>
              <w:jc w:val="center"/>
              <w:rPr>
                <w:lang w:eastAsia="en-US"/>
              </w:rPr>
            </w:pPr>
            <w:r>
              <w:rPr>
                <w:lang w:eastAsia="en-US"/>
              </w:rPr>
              <w:t>1</w:t>
            </w:r>
          </w:p>
        </w:tc>
        <w:tc>
          <w:tcPr>
            <w:tcW w:w="1389" w:type="dxa"/>
            <w:tcBorders>
              <w:top w:val="single" w:sz="8" w:space="0" w:color="000000"/>
              <w:bottom w:val="single" w:sz="8" w:space="0" w:color="000000"/>
            </w:tcBorders>
          </w:tcPr>
          <w:p w:rsidR="0069118B" w:rsidRPr="0069118B" w:rsidRDefault="0069118B" w:rsidP="00DA3320">
            <w:pPr>
              <w:keepNext/>
              <w:jc w:val="center"/>
              <w:rPr>
                <w:lang w:eastAsia="en-US"/>
              </w:rPr>
            </w:pPr>
            <w:r w:rsidRPr="0069118B">
              <w:rPr>
                <w:lang w:eastAsia="en-US"/>
              </w:rPr>
              <w:t>0</w:t>
            </w:r>
          </w:p>
        </w:tc>
        <w:tc>
          <w:tcPr>
            <w:tcW w:w="1389" w:type="dxa"/>
            <w:tcBorders>
              <w:top w:val="single" w:sz="8" w:space="0" w:color="000000"/>
              <w:bottom w:val="single" w:sz="8" w:space="0" w:color="000000"/>
              <w:right w:val="single" w:sz="8" w:space="0" w:color="000000"/>
            </w:tcBorders>
          </w:tcPr>
          <w:p w:rsidR="0069118B" w:rsidRPr="0069118B" w:rsidRDefault="0069118B" w:rsidP="00DA3320">
            <w:pPr>
              <w:keepNext/>
              <w:jc w:val="center"/>
              <w:rPr>
                <w:lang w:eastAsia="en-US"/>
              </w:rPr>
            </w:pPr>
            <w:r w:rsidRPr="0069118B">
              <w:rPr>
                <w:lang w:eastAsia="en-US"/>
              </w:rPr>
              <w:t>8</w:t>
            </w:r>
          </w:p>
        </w:tc>
      </w:tr>
      <w:tr w:rsidR="008C42B6" w:rsidRPr="005C3F36" w:rsidTr="008C42B6">
        <w:trPr>
          <w:trHeight w:val="370"/>
        </w:trPr>
        <w:tc>
          <w:tcPr>
            <w:tcW w:w="2117" w:type="dxa"/>
            <w:tcBorders>
              <w:top w:val="single" w:sz="8" w:space="0" w:color="000000"/>
              <w:left w:val="single" w:sz="8" w:space="0" w:color="000000"/>
              <w:bottom w:val="single" w:sz="8" w:space="0" w:color="000000"/>
            </w:tcBorders>
          </w:tcPr>
          <w:p w:rsidR="008C42B6" w:rsidRPr="0069118B" w:rsidRDefault="008C42B6" w:rsidP="008C42B6">
            <w:pPr>
              <w:rPr>
                <w:lang w:eastAsia="en-US"/>
              </w:rPr>
            </w:pPr>
            <w:r w:rsidRPr="0069118B">
              <w:rPr>
                <w:lang w:eastAsia="en-US"/>
              </w:rPr>
              <w:t>Total</w:t>
            </w:r>
          </w:p>
        </w:tc>
        <w:tc>
          <w:tcPr>
            <w:tcW w:w="1389" w:type="dxa"/>
            <w:tcBorders>
              <w:top w:val="single" w:sz="8" w:space="0" w:color="000000"/>
              <w:bottom w:val="single" w:sz="8" w:space="0" w:color="000000"/>
            </w:tcBorders>
          </w:tcPr>
          <w:p w:rsidR="008C42B6" w:rsidRPr="0069118B" w:rsidRDefault="008C42B6" w:rsidP="008C42B6">
            <w:pPr>
              <w:jc w:val="center"/>
              <w:rPr>
                <w:lang w:eastAsia="en-US"/>
              </w:rPr>
            </w:pPr>
            <w:r w:rsidRPr="0069118B">
              <w:rPr>
                <w:lang w:eastAsia="en-US"/>
              </w:rPr>
              <w:t>72</w:t>
            </w:r>
          </w:p>
        </w:tc>
        <w:tc>
          <w:tcPr>
            <w:tcW w:w="1389" w:type="dxa"/>
            <w:tcBorders>
              <w:top w:val="single" w:sz="8" w:space="0" w:color="000000"/>
              <w:bottom w:val="single" w:sz="8" w:space="0" w:color="000000"/>
            </w:tcBorders>
          </w:tcPr>
          <w:p w:rsidR="008C42B6" w:rsidRPr="0069118B" w:rsidRDefault="008C42B6" w:rsidP="008C42B6">
            <w:pPr>
              <w:jc w:val="center"/>
              <w:rPr>
                <w:lang w:eastAsia="en-US"/>
              </w:rPr>
            </w:pPr>
            <w:r w:rsidRPr="0069118B">
              <w:rPr>
                <w:lang w:eastAsia="en-US"/>
              </w:rPr>
              <w:t>5</w:t>
            </w:r>
          </w:p>
        </w:tc>
        <w:tc>
          <w:tcPr>
            <w:tcW w:w="1389" w:type="dxa"/>
            <w:tcBorders>
              <w:top w:val="single" w:sz="8" w:space="0" w:color="000000"/>
              <w:bottom w:val="single" w:sz="8" w:space="0" w:color="000000"/>
            </w:tcBorders>
          </w:tcPr>
          <w:p w:rsidR="008C42B6" w:rsidRPr="0069118B" w:rsidRDefault="008C42B6" w:rsidP="008C42B6">
            <w:pPr>
              <w:jc w:val="center"/>
              <w:rPr>
                <w:lang w:eastAsia="en-US"/>
              </w:rPr>
            </w:pPr>
            <w:r>
              <w:rPr>
                <w:lang w:eastAsia="en-US"/>
              </w:rPr>
              <w:t>25</w:t>
            </w:r>
          </w:p>
        </w:tc>
        <w:tc>
          <w:tcPr>
            <w:tcW w:w="1389" w:type="dxa"/>
            <w:tcBorders>
              <w:top w:val="single" w:sz="8" w:space="0" w:color="000000"/>
              <w:bottom w:val="single" w:sz="8" w:space="0" w:color="000000"/>
            </w:tcBorders>
          </w:tcPr>
          <w:p w:rsidR="008C42B6" w:rsidRPr="0069118B" w:rsidRDefault="008C42B6" w:rsidP="008C42B6">
            <w:pPr>
              <w:jc w:val="center"/>
              <w:rPr>
                <w:lang w:eastAsia="en-US"/>
              </w:rPr>
            </w:pPr>
            <w:r w:rsidRPr="0069118B">
              <w:rPr>
                <w:lang w:eastAsia="en-US"/>
              </w:rPr>
              <w:t>10</w:t>
            </w:r>
          </w:p>
        </w:tc>
        <w:tc>
          <w:tcPr>
            <w:tcW w:w="1389" w:type="dxa"/>
            <w:tcBorders>
              <w:top w:val="single" w:sz="8" w:space="0" w:color="000000"/>
              <w:bottom w:val="single" w:sz="8" w:space="0" w:color="000000"/>
              <w:right w:val="single" w:sz="8" w:space="0" w:color="000000"/>
            </w:tcBorders>
          </w:tcPr>
          <w:p w:rsidR="008C42B6" w:rsidRPr="0069118B" w:rsidRDefault="008C42B6" w:rsidP="008C42B6">
            <w:pPr>
              <w:jc w:val="center"/>
              <w:rPr>
                <w:lang w:eastAsia="en-US"/>
              </w:rPr>
            </w:pPr>
            <w:r w:rsidRPr="0069118B">
              <w:rPr>
                <w:lang w:eastAsia="en-US"/>
              </w:rPr>
              <w:t>112</w:t>
            </w:r>
          </w:p>
        </w:tc>
      </w:tr>
    </w:tbl>
    <w:p w:rsidR="0069118B" w:rsidRDefault="0069118B" w:rsidP="0069118B">
      <w:pPr>
        <w:rPr>
          <w:lang w:eastAsia="en-US"/>
        </w:rPr>
      </w:pPr>
    </w:p>
    <w:p w:rsidR="0068179A" w:rsidRDefault="00E37A73" w:rsidP="0068179A">
      <w:pPr>
        <w:pStyle w:val="Captionstyle"/>
        <w:keepNext/>
        <w:ind w:left="360"/>
      </w:pPr>
      <w:r>
        <w:t>Figure 3</w:t>
      </w:r>
      <w:r w:rsidR="008D3BC7">
        <w:t xml:space="preserve">: </w:t>
      </w:r>
      <w:r w:rsidR="0068179A">
        <w:rPr>
          <w:lang w:eastAsia="en-US"/>
        </w:rPr>
        <w:t>CLC and constituent vehicles at Council Meeting at Ati</w:t>
      </w:r>
      <w:r w:rsidR="0041683D">
        <w:rPr>
          <w:lang w:eastAsia="en-US"/>
        </w:rPr>
        <w:t>t</w:t>
      </w:r>
      <w:r w:rsidR="0068179A">
        <w:rPr>
          <w:lang w:eastAsia="en-US"/>
        </w:rPr>
        <w:t>jere/Harts Range</w:t>
      </w:r>
    </w:p>
    <w:p w:rsidR="00AA472E" w:rsidRDefault="00E37A73" w:rsidP="0069118B">
      <w:pPr>
        <w:rPr>
          <w:lang w:eastAsia="en-US"/>
        </w:rPr>
      </w:pPr>
      <w:r>
        <w:rPr>
          <w:noProof/>
        </w:rPr>
        <w:drawing>
          <wp:inline distT="0" distB="0" distL="0" distR="0" wp14:anchorId="42DE5091" wp14:editId="65C59FF1">
            <wp:extent cx="5725795" cy="1001395"/>
            <wp:effectExtent l="0" t="0" r="8255" b="8255"/>
            <wp:docPr id="14" name="Picture 14" descr="\\.psf\Home\Documents\@AkersConsult\zz-Project Archive\1301-01 Central Land Council Tpt Strategy\Photos\Council meeting\DSCN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f\Home\Documents\@AkersConsult\zz-Project Archive\1301-01 Central Land Council Tpt Strategy\Photos\Council meeting\DSCN25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5795" cy="1001395"/>
                    </a:xfrm>
                    <a:prstGeom prst="rect">
                      <a:avLst/>
                    </a:prstGeom>
                    <a:noFill/>
                    <a:ln>
                      <a:noFill/>
                    </a:ln>
                  </pic:spPr>
                </pic:pic>
              </a:graphicData>
            </a:graphic>
          </wp:inline>
        </w:drawing>
      </w:r>
      <w:r w:rsidR="0068179A">
        <w:rPr>
          <w:noProof/>
        </w:rPr>
        <w:drawing>
          <wp:inline distT="0" distB="0" distL="0" distR="0" wp14:anchorId="6995D583" wp14:editId="342CF12F">
            <wp:extent cx="5731145" cy="2557961"/>
            <wp:effectExtent l="0" t="0" r="3175" b="0"/>
            <wp:docPr id="13" name="Picture 13" descr="\\.psf\Home\Documents\@AkersConsult\zz-Project Archive\1301-01 Central Land Council Tpt Strategy\Photos\Council meeting\DSCN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f\Home\Documents\@AkersConsult\zz-Project Archive\1301-01 Central Land Council Tpt Strategy\Photos\Council meeting\DSCN249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583" b="33920"/>
                    <a:stretch/>
                  </pic:blipFill>
                  <pic:spPr bwMode="auto">
                    <a:xfrm>
                      <a:off x="0" y="0"/>
                      <a:ext cx="5731510" cy="2558124"/>
                    </a:xfrm>
                    <a:prstGeom prst="rect">
                      <a:avLst/>
                    </a:prstGeom>
                    <a:noFill/>
                    <a:ln>
                      <a:noFill/>
                    </a:ln>
                    <a:extLst>
                      <a:ext uri="{53640926-AAD7-44D8-BBD7-CCE9431645EC}">
                        <a14:shadowObscured xmlns:a14="http://schemas.microsoft.com/office/drawing/2010/main"/>
                      </a:ext>
                    </a:extLst>
                  </pic:spPr>
                </pic:pic>
              </a:graphicData>
            </a:graphic>
          </wp:inline>
        </w:drawing>
      </w:r>
    </w:p>
    <w:p w:rsidR="00B14B00" w:rsidRDefault="00B14B00" w:rsidP="005A0BDB">
      <w:pPr>
        <w:rPr>
          <w:lang w:eastAsia="en-US"/>
        </w:rPr>
      </w:pPr>
    </w:p>
    <w:p w:rsidR="00A70E2F" w:rsidRDefault="00117651" w:rsidP="00117651">
      <w:pPr>
        <w:pStyle w:val="SectionHeadingLevel2"/>
        <w:keepNext/>
      </w:pPr>
      <w:r>
        <w:t>4.2. Vehicle booking patterns</w:t>
      </w:r>
    </w:p>
    <w:p w:rsidR="00A70E2F" w:rsidRDefault="00A70E2F" w:rsidP="00C01D94">
      <w:pPr>
        <w:keepNext/>
        <w:rPr>
          <w:lang w:eastAsia="en-US"/>
        </w:rPr>
      </w:pPr>
      <w:r>
        <w:rPr>
          <w:lang w:eastAsia="en-US"/>
        </w:rPr>
        <w:t>Vehicles are generally allocated to CLC Units which are the nominal custodians of their fleet</w:t>
      </w:r>
      <w:r w:rsidR="00C01D94">
        <w:rPr>
          <w:lang w:eastAsia="en-US"/>
        </w:rPr>
        <w:t xml:space="preserve">. </w:t>
      </w:r>
      <w:r>
        <w:rPr>
          <w:lang w:eastAsia="en-US"/>
        </w:rPr>
        <w:t>Two booking classifications exist:</w:t>
      </w:r>
    </w:p>
    <w:p w:rsidR="00A70E2F" w:rsidRDefault="00A70E2F" w:rsidP="00C01D94">
      <w:pPr>
        <w:keepNext/>
        <w:numPr>
          <w:ilvl w:val="0"/>
          <w:numId w:val="16"/>
        </w:numPr>
      </w:pPr>
      <w:r>
        <w:t>Pool vehicles which are notionally available for any CLC staff to use</w:t>
      </w:r>
    </w:p>
    <w:p w:rsidR="00A70E2F" w:rsidRDefault="00A70E2F" w:rsidP="00167727">
      <w:pPr>
        <w:numPr>
          <w:ilvl w:val="0"/>
          <w:numId w:val="16"/>
        </w:numPr>
      </w:pPr>
      <w:r>
        <w:t xml:space="preserve">Restricted vehicles which are in principle only available for staff working in the designated Unit. </w:t>
      </w:r>
      <w:r w:rsidR="00117651">
        <w:t>Very few</w:t>
      </w:r>
      <w:r>
        <w:t xml:space="preserve"> of these vehicles are procured using tied grant funding.</w:t>
      </w:r>
    </w:p>
    <w:p w:rsidR="00A70E2F" w:rsidRDefault="00A70E2F" w:rsidP="00A70E2F">
      <w:pPr>
        <w:rPr>
          <w:lang w:eastAsia="en-US"/>
        </w:rPr>
      </w:pPr>
      <w:r>
        <w:rPr>
          <w:lang w:eastAsia="en-US"/>
        </w:rPr>
        <w:t xml:space="preserve">The allocation of vehicles to each unit is shown in </w:t>
      </w:r>
      <w:r w:rsidR="00314DD8" w:rsidRPr="00314DD8">
        <w:rPr>
          <w:b/>
          <w:lang w:eastAsia="en-US"/>
        </w:rPr>
        <w:t>Figure 4</w:t>
      </w:r>
      <w:r w:rsidR="00117651">
        <w:rPr>
          <w:lang w:eastAsia="en-US"/>
        </w:rPr>
        <w:t>; o</w:t>
      </w:r>
      <w:r>
        <w:rPr>
          <w:lang w:eastAsia="en-US"/>
        </w:rPr>
        <w:t xml:space="preserve">verall, just over 75 per cent of the fleet has restricted booking status. </w:t>
      </w:r>
    </w:p>
    <w:p w:rsidR="00A70E2F" w:rsidRDefault="00314DD8" w:rsidP="00B816D4">
      <w:pPr>
        <w:pStyle w:val="Captionstyle"/>
        <w:keepNext/>
        <w:ind w:left="360"/>
      </w:pPr>
      <w:r>
        <w:lastRenderedPageBreak/>
        <w:t>Figure </w:t>
      </w:r>
      <w:r w:rsidR="008D3BC7">
        <w:t xml:space="preserve">4: </w:t>
      </w:r>
      <w:r w:rsidR="00A70E2F">
        <w:t>CLC Fleet Summary – Unit allocation</w:t>
      </w:r>
    </w:p>
    <w:p w:rsidR="00A70E2F" w:rsidRDefault="00A70E2F" w:rsidP="00A70E2F">
      <w:pPr>
        <w:rPr>
          <w:lang w:eastAsia="en-US"/>
        </w:rPr>
      </w:pPr>
      <w:r>
        <w:rPr>
          <w:lang w:eastAsia="en-US"/>
        </w:rPr>
        <w:t xml:space="preserve"> </w:t>
      </w:r>
      <w:r w:rsidRPr="00067A4D">
        <w:rPr>
          <w:noProof/>
        </w:rPr>
        <w:drawing>
          <wp:inline distT="0" distB="0" distL="0" distR="0" wp14:anchorId="3B2D75CF" wp14:editId="5A0D68F4">
            <wp:extent cx="4582795" cy="2764155"/>
            <wp:effectExtent l="1905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582795" cy="2764155"/>
                    </a:xfrm>
                    <a:prstGeom prst="rect">
                      <a:avLst/>
                    </a:prstGeom>
                    <a:noFill/>
                    <a:ln w="9525">
                      <a:noFill/>
                      <a:miter lim="800000"/>
                      <a:headEnd/>
                      <a:tailEnd/>
                    </a:ln>
                  </pic:spPr>
                </pic:pic>
              </a:graphicData>
            </a:graphic>
          </wp:inline>
        </w:drawing>
      </w:r>
    </w:p>
    <w:p w:rsidR="00A70E2F" w:rsidRDefault="00A70E2F" w:rsidP="005A0BDB">
      <w:pPr>
        <w:rPr>
          <w:lang w:eastAsia="en-US"/>
        </w:rPr>
      </w:pPr>
    </w:p>
    <w:p w:rsidR="00D00ED4" w:rsidRPr="00B816D4" w:rsidRDefault="00314DD8" w:rsidP="00B816D4">
      <w:pPr>
        <w:pStyle w:val="Captionstyle"/>
        <w:keepNext/>
        <w:ind w:left="360"/>
        <w:rPr>
          <w:b w:val="0"/>
          <w:bCs/>
        </w:rPr>
      </w:pPr>
      <w:bookmarkStart w:id="1" w:name="_Toc405126288"/>
      <w:r>
        <w:t>Figure </w:t>
      </w:r>
      <w:r w:rsidR="008D3BC7">
        <w:t xml:space="preserve">5: </w:t>
      </w:r>
      <w:r w:rsidR="00D00ED4" w:rsidRPr="005F2B9A">
        <w:t xml:space="preserve">Diagram of </w:t>
      </w:r>
      <w:r w:rsidR="00506060">
        <w:t xml:space="preserve">Troop Carrier </w:t>
      </w:r>
      <w:bookmarkEnd w:id="1"/>
      <w:r w:rsidR="00E37A73">
        <w:t>bookings</w:t>
      </w:r>
    </w:p>
    <w:p w:rsidR="00D00ED4" w:rsidRPr="005F2B9A" w:rsidRDefault="00D00ED4" w:rsidP="00D00ED4">
      <w:r w:rsidRPr="005F2B9A">
        <w:rPr>
          <w:noProof/>
        </w:rPr>
        <w:drawing>
          <wp:inline distT="0" distB="0" distL="0" distR="0" wp14:anchorId="4F8041EA" wp14:editId="066D8FB8">
            <wp:extent cx="6332400" cy="2808000"/>
            <wp:effectExtent l="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6332400" cy="2808000"/>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1526"/>
        <w:gridCol w:w="676"/>
      </w:tblGrid>
      <w:tr w:rsidR="00D00ED4" w:rsidRPr="00314DD8" w:rsidTr="000E6908">
        <w:tc>
          <w:tcPr>
            <w:tcW w:w="1526" w:type="dxa"/>
          </w:tcPr>
          <w:p w:rsidR="00D00ED4" w:rsidRPr="00314DD8" w:rsidRDefault="00D00ED4" w:rsidP="00E37A73">
            <w:pPr>
              <w:spacing w:before="100" w:beforeAutospacing="1" w:after="100" w:afterAutospacing="1"/>
              <w:rPr>
                <w:sz w:val="16"/>
                <w:szCs w:val="16"/>
              </w:rPr>
            </w:pPr>
            <w:r w:rsidRPr="00314DD8">
              <w:rPr>
                <w:sz w:val="16"/>
                <w:szCs w:val="16"/>
              </w:rPr>
              <w:t>Pool</w:t>
            </w:r>
          </w:p>
        </w:tc>
        <w:tc>
          <w:tcPr>
            <w:tcW w:w="676" w:type="dxa"/>
            <w:shd w:val="clear" w:color="auto" w:fill="C6413E"/>
          </w:tcPr>
          <w:p w:rsidR="00D00ED4" w:rsidRPr="00314DD8" w:rsidRDefault="00D00ED4" w:rsidP="00E37A73">
            <w:pPr>
              <w:spacing w:before="100" w:beforeAutospacing="1" w:after="100" w:afterAutospacing="1"/>
              <w:rPr>
                <w:sz w:val="16"/>
                <w:szCs w:val="16"/>
              </w:rPr>
            </w:pPr>
          </w:p>
        </w:tc>
      </w:tr>
      <w:tr w:rsidR="00D00ED4" w:rsidRPr="00314DD8" w:rsidTr="000E6908">
        <w:tc>
          <w:tcPr>
            <w:tcW w:w="1526" w:type="dxa"/>
          </w:tcPr>
          <w:p w:rsidR="00D00ED4" w:rsidRPr="00314DD8" w:rsidRDefault="00D00ED4" w:rsidP="00E37A73">
            <w:pPr>
              <w:spacing w:before="100" w:beforeAutospacing="1" w:after="100" w:afterAutospacing="1"/>
              <w:rPr>
                <w:sz w:val="16"/>
                <w:szCs w:val="16"/>
              </w:rPr>
            </w:pPr>
            <w:r w:rsidRPr="00314DD8">
              <w:rPr>
                <w:sz w:val="16"/>
                <w:szCs w:val="16"/>
              </w:rPr>
              <w:t>Restricted</w:t>
            </w:r>
          </w:p>
        </w:tc>
        <w:tc>
          <w:tcPr>
            <w:tcW w:w="676" w:type="dxa"/>
            <w:shd w:val="clear" w:color="auto" w:fill="4E7FC6"/>
          </w:tcPr>
          <w:p w:rsidR="00D00ED4" w:rsidRPr="00314DD8" w:rsidRDefault="00D00ED4" w:rsidP="00E37A73">
            <w:pPr>
              <w:spacing w:before="100" w:beforeAutospacing="1" w:after="100" w:afterAutospacing="1"/>
              <w:rPr>
                <w:sz w:val="16"/>
                <w:szCs w:val="16"/>
              </w:rPr>
            </w:pPr>
          </w:p>
        </w:tc>
      </w:tr>
    </w:tbl>
    <w:p w:rsidR="00E37A73" w:rsidRDefault="00E37A73" w:rsidP="005A0BDB">
      <w:pPr>
        <w:rPr>
          <w:lang w:eastAsia="en-US"/>
        </w:rPr>
      </w:pPr>
    </w:p>
    <w:p w:rsidR="00A70E2F" w:rsidRDefault="00506060" w:rsidP="005A0BDB">
      <w:pPr>
        <w:rPr>
          <w:lang w:eastAsia="en-US"/>
        </w:rPr>
      </w:pPr>
      <w:r>
        <w:rPr>
          <w:lang w:eastAsia="en-US"/>
        </w:rPr>
        <w:t xml:space="preserve">Even at this high level, the booking records show </w:t>
      </w:r>
      <w:r w:rsidR="00D00ED4">
        <w:rPr>
          <w:lang w:eastAsia="en-US"/>
        </w:rPr>
        <w:t>clearly:</w:t>
      </w:r>
    </w:p>
    <w:p w:rsidR="00D00ED4" w:rsidRDefault="00506060" w:rsidP="00D00ED4">
      <w:pPr>
        <w:numPr>
          <w:ilvl w:val="0"/>
          <w:numId w:val="16"/>
        </w:numPr>
      </w:pPr>
      <w:r>
        <w:t xml:space="preserve">the </w:t>
      </w:r>
      <w:r w:rsidR="00D00ED4">
        <w:t>long block booking of some restricted vehicles, allocated to Regional Offices</w:t>
      </w:r>
    </w:p>
    <w:p w:rsidR="00D00ED4" w:rsidRDefault="00506060" w:rsidP="00D00ED4">
      <w:pPr>
        <w:numPr>
          <w:ilvl w:val="0"/>
          <w:numId w:val="16"/>
        </w:numPr>
      </w:pPr>
      <w:r>
        <w:t xml:space="preserve">the </w:t>
      </w:r>
      <w:r w:rsidR="00D00ED4">
        <w:t>high proportion of restricted vehicles not booked</w:t>
      </w:r>
      <w:r>
        <w:t xml:space="preserve"> and</w:t>
      </w:r>
    </w:p>
    <w:p w:rsidR="00D00ED4" w:rsidRDefault="00506060" w:rsidP="00D00ED4">
      <w:pPr>
        <w:numPr>
          <w:ilvl w:val="0"/>
          <w:numId w:val="16"/>
        </w:numPr>
      </w:pPr>
      <w:r>
        <w:t xml:space="preserve">the </w:t>
      </w:r>
      <w:r w:rsidR="00D00ED4">
        <w:t>high demand for pool vehicles</w:t>
      </w:r>
      <w:r>
        <w:t xml:space="preserve">. </w:t>
      </w:r>
    </w:p>
    <w:p w:rsidR="00D00ED4" w:rsidRDefault="00D00ED4" w:rsidP="005A0BDB">
      <w:pPr>
        <w:rPr>
          <w:lang w:eastAsia="en-US"/>
        </w:rPr>
      </w:pPr>
      <w:r>
        <w:rPr>
          <w:lang w:eastAsia="en-US"/>
        </w:rPr>
        <w:t>Overall, when measured against total vehicle-days, the booking utilisation was 56 and 54 per cent for pool and restricted use vehicles</w:t>
      </w:r>
      <w:r w:rsidRPr="00D00ED4">
        <w:rPr>
          <w:lang w:eastAsia="en-US"/>
        </w:rPr>
        <w:t xml:space="preserve"> </w:t>
      </w:r>
      <w:r>
        <w:rPr>
          <w:lang w:eastAsia="en-US"/>
        </w:rPr>
        <w:t>respectively although the demand was much more evenly spread across all pool vehicles than across the range of restricted vehicles</w:t>
      </w:r>
      <w:r w:rsidR="00C01D94">
        <w:rPr>
          <w:lang w:eastAsia="en-US"/>
        </w:rPr>
        <w:t xml:space="preserve">. </w:t>
      </w:r>
    </w:p>
    <w:p w:rsidR="00D00ED4" w:rsidRDefault="00D00ED4" w:rsidP="005A0BDB">
      <w:pPr>
        <w:rPr>
          <w:lang w:eastAsia="en-US"/>
        </w:rPr>
      </w:pPr>
      <w:r>
        <w:rPr>
          <w:lang w:eastAsia="en-US"/>
        </w:rPr>
        <w:lastRenderedPageBreak/>
        <w:t xml:space="preserve">Bookings do not </w:t>
      </w:r>
      <w:r w:rsidR="005A3662">
        <w:rPr>
          <w:lang w:eastAsia="en-US"/>
        </w:rPr>
        <w:t>fully capture the actual use of the fleet which was measured from the tracking data, but this early analysis provided useful insights and guided more detailed analysis of vehicle utilisation</w:t>
      </w:r>
      <w:r w:rsidR="00C01D94">
        <w:rPr>
          <w:lang w:eastAsia="en-US"/>
        </w:rPr>
        <w:t xml:space="preserve">. </w:t>
      </w:r>
    </w:p>
    <w:p w:rsidR="00A70E2F" w:rsidRDefault="001615C6" w:rsidP="001615C6">
      <w:pPr>
        <w:pStyle w:val="SectionHeadingLevel2"/>
        <w:keepNext/>
      </w:pPr>
      <w:r>
        <w:t>4.3. Fleet utilisation</w:t>
      </w:r>
    </w:p>
    <w:p w:rsidR="001615C6" w:rsidRPr="00B816D4" w:rsidRDefault="003246F0" w:rsidP="00B816D4">
      <w:pPr>
        <w:keepNext/>
        <w:rPr>
          <w:b/>
          <w:i/>
        </w:rPr>
      </w:pPr>
      <w:r w:rsidRPr="00B816D4">
        <w:rPr>
          <w:b/>
          <w:i/>
        </w:rPr>
        <w:t xml:space="preserve">4.3.1. </w:t>
      </w:r>
      <w:r w:rsidR="00C32DE2">
        <w:rPr>
          <w:b/>
          <w:i/>
        </w:rPr>
        <w:t>Seasonality</w:t>
      </w:r>
    </w:p>
    <w:p w:rsidR="001615C6" w:rsidRDefault="001615C6" w:rsidP="001615C6">
      <w:pPr>
        <w:rPr>
          <w:lang w:eastAsia="en-US"/>
        </w:rPr>
      </w:pPr>
      <w:r>
        <w:rPr>
          <w:lang w:eastAsia="en-US"/>
        </w:rPr>
        <w:t xml:space="preserve">NAVMAN Executive Summary reports were used to provide an overview of vehicle use over a full </w:t>
      </w:r>
      <w:r w:rsidR="00C32DE2">
        <w:rPr>
          <w:lang w:eastAsia="en-US"/>
        </w:rPr>
        <w:t>twelve-month</w:t>
      </w:r>
      <w:r>
        <w:rPr>
          <w:lang w:eastAsia="en-US"/>
        </w:rPr>
        <w:t xml:space="preserve"> period</w:t>
      </w:r>
      <w:r w:rsidR="00C01D94">
        <w:rPr>
          <w:lang w:eastAsia="en-US"/>
        </w:rPr>
        <w:t xml:space="preserve">. </w:t>
      </w:r>
      <w:r>
        <w:rPr>
          <w:lang w:eastAsia="en-US"/>
        </w:rPr>
        <w:t xml:space="preserve">For the </w:t>
      </w:r>
      <w:r w:rsidR="00C32DE2">
        <w:rPr>
          <w:lang w:eastAsia="en-US"/>
        </w:rPr>
        <w:t>six-month</w:t>
      </w:r>
      <w:r>
        <w:rPr>
          <w:lang w:eastAsia="en-US"/>
        </w:rPr>
        <w:t xml:space="preserve"> study period, a much more detailed data set was extracted, logging each vehicle movement</w:t>
      </w:r>
      <w:r w:rsidR="00C01D94">
        <w:rPr>
          <w:lang w:eastAsia="en-US"/>
        </w:rPr>
        <w:t xml:space="preserve">. </w:t>
      </w:r>
    </w:p>
    <w:p w:rsidR="0041683D" w:rsidRDefault="0041683D" w:rsidP="0041683D">
      <w:r>
        <w:t>In general, the duration of each booking compared well between VBS and NAVMAN</w:t>
      </w:r>
      <w:r w:rsidR="00C01D94">
        <w:t xml:space="preserve">. </w:t>
      </w:r>
      <w:r>
        <w:t>An exception was seen for artificially long bookings of some ranger vehicles, known to be block booked rather than being allocated permanently to the Ranger unit</w:t>
      </w:r>
      <w:r w:rsidR="00C01D94">
        <w:t xml:space="preserve">. </w:t>
      </w:r>
    </w:p>
    <w:p w:rsidR="0041683D" w:rsidRPr="003B0C83" w:rsidRDefault="0041683D" w:rsidP="0041683D">
      <w:r>
        <w:t>Overall, the absence of significant bias indicated that NAVMAN trip information could be used to pattern the remainder of the fleet</w:t>
      </w:r>
      <w:r w:rsidR="00C01D94">
        <w:t xml:space="preserve">. </w:t>
      </w:r>
      <w:r>
        <w:t xml:space="preserve">Expansion factors were later applied to quantify the market segments as input into the final recommendations regarding fleet size and composition; other analysis was based on unexpanded observed movements. </w:t>
      </w:r>
    </w:p>
    <w:p w:rsidR="00C01D94" w:rsidRDefault="001615C6" w:rsidP="00C01D94">
      <w:pPr>
        <w:keepNext/>
        <w:rPr>
          <w:lang w:eastAsia="en-US"/>
        </w:rPr>
      </w:pPr>
      <w:r>
        <w:rPr>
          <w:lang w:eastAsia="en-US"/>
        </w:rPr>
        <w:t xml:space="preserve">The </w:t>
      </w:r>
      <w:r w:rsidR="00C32DE2">
        <w:rPr>
          <w:lang w:eastAsia="en-US"/>
        </w:rPr>
        <w:t>twelve-month</w:t>
      </w:r>
      <w:r>
        <w:rPr>
          <w:lang w:eastAsia="en-US"/>
        </w:rPr>
        <w:t xml:space="preserve"> overview is shown in </w:t>
      </w:r>
      <w:r w:rsidR="00314DD8" w:rsidRPr="00314DD8">
        <w:rPr>
          <w:b/>
          <w:lang w:eastAsia="en-US"/>
        </w:rPr>
        <w:t>Figure </w:t>
      </w:r>
      <w:r w:rsidR="00506060" w:rsidRPr="00314DD8">
        <w:rPr>
          <w:b/>
          <w:lang w:eastAsia="en-US"/>
        </w:rPr>
        <w:t>6</w:t>
      </w:r>
      <w:r w:rsidR="00C01D94">
        <w:rPr>
          <w:lang w:eastAsia="en-US"/>
        </w:rPr>
        <w:t xml:space="preserve">. </w:t>
      </w:r>
      <w:r>
        <w:rPr>
          <w:lang w:eastAsia="en-US"/>
        </w:rPr>
        <w:t>It shows a significant drop in activity over the December-January holiday period, with a slow return to normal activity during February</w:t>
      </w:r>
      <w:r w:rsidR="00C01D94">
        <w:rPr>
          <w:lang w:eastAsia="en-US"/>
        </w:rPr>
        <w:t xml:space="preserve">. </w:t>
      </w:r>
      <w:r>
        <w:rPr>
          <w:lang w:eastAsia="en-US"/>
        </w:rPr>
        <w:t xml:space="preserve">Apart from the summer holiday period, the six months of the detailed study appears to be reasonably representative of normal activity levels. </w:t>
      </w:r>
    </w:p>
    <w:p w:rsidR="00C01D94" w:rsidRPr="00067A4D" w:rsidRDefault="00C01D94" w:rsidP="00C01D94">
      <w:pPr>
        <w:keepNext/>
      </w:pPr>
      <w:r>
        <w:t>Several patterns are present in the level of travel activity</w:t>
      </w:r>
      <w:r w:rsidRPr="00067A4D">
        <w:t>:</w:t>
      </w:r>
    </w:p>
    <w:p w:rsidR="00C01D94" w:rsidRPr="003246F0" w:rsidRDefault="00C01D94" w:rsidP="00C01D94">
      <w:pPr>
        <w:keepNext/>
        <w:numPr>
          <w:ilvl w:val="0"/>
          <w:numId w:val="16"/>
        </w:numPr>
      </w:pPr>
      <w:r w:rsidRPr="003246F0">
        <w:t>generally, school holidays and public holiday weeks result in less travel</w:t>
      </w:r>
    </w:p>
    <w:p w:rsidR="00C01D94" w:rsidRPr="003246F0" w:rsidRDefault="00C01D94" w:rsidP="00C01D94">
      <w:pPr>
        <w:numPr>
          <w:ilvl w:val="0"/>
          <w:numId w:val="16"/>
        </w:numPr>
      </w:pPr>
      <w:r w:rsidRPr="003246F0">
        <w:t>from the beginning of May through to the second week in December, travel in weeks unaffected by school or public holidays is generally above average</w:t>
      </w:r>
    </w:p>
    <w:p w:rsidR="00C01D94" w:rsidRDefault="00C01D94" w:rsidP="00C01D94">
      <w:pPr>
        <w:numPr>
          <w:ilvl w:val="0"/>
          <w:numId w:val="16"/>
        </w:numPr>
      </w:pPr>
      <w:r w:rsidRPr="003246F0">
        <w:t>there is a sudden and dramatic drop in travel at the beginning of the summer school holidays and the Christmas-New Year break</w:t>
      </w:r>
      <w:r w:rsidR="00803537">
        <w:t xml:space="preserve">.  During this </w:t>
      </w:r>
      <w:r w:rsidR="00E81972">
        <w:t xml:space="preserve">period the Centre experiences extreme heat conditions and </w:t>
      </w:r>
      <w:r w:rsidR="00803537">
        <w:t xml:space="preserve">it </w:t>
      </w:r>
      <w:r w:rsidR="00E81972">
        <w:t>is also the traditional time for Aboriginal ceremony, so field staff are encouraged to take leave.</w:t>
      </w:r>
    </w:p>
    <w:p w:rsidR="00C01D94" w:rsidRPr="003246F0" w:rsidRDefault="00C01D94" w:rsidP="00C01D94">
      <w:pPr>
        <w:numPr>
          <w:ilvl w:val="0"/>
          <w:numId w:val="16"/>
        </w:numPr>
      </w:pPr>
      <w:r>
        <w:t xml:space="preserve">some high demand weeks are due to special activities such as remote Council meetings. </w:t>
      </w:r>
    </w:p>
    <w:p w:rsidR="001615C6" w:rsidRDefault="00314DD8" w:rsidP="00B816D4">
      <w:pPr>
        <w:pStyle w:val="Captionstyle"/>
        <w:keepNext/>
        <w:ind w:left="360"/>
      </w:pPr>
      <w:r>
        <w:lastRenderedPageBreak/>
        <w:t>Figure </w:t>
      </w:r>
      <w:r w:rsidR="00506060">
        <w:t xml:space="preserve">6: </w:t>
      </w:r>
      <w:r w:rsidR="001615C6">
        <w:t>Seasonality – all vehicles</w:t>
      </w:r>
    </w:p>
    <w:tbl>
      <w:tblPr>
        <w:tblStyle w:val="TableGrid"/>
        <w:tblW w:w="0" w:type="auto"/>
        <w:tblLook w:val="04A0" w:firstRow="1" w:lastRow="0" w:firstColumn="1" w:lastColumn="0" w:noHBand="0" w:noVBand="1"/>
      </w:tblPr>
      <w:tblGrid>
        <w:gridCol w:w="1401"/>
        <w:gridCol w:w="5372"/>
        <w:gridCol w:w="2522"/>
      </w:tblGrid>
      <w:tr w:rsidR="001615C6" w:rsidRPr="00067A4D" w:rsidTr="00506060">
        <w:tc>
          <w:tcPr>
            <w:tcW w:w="9016" w:type="dxa"/>
            <w:gridSpan w:val="3"/>
          </w:tcPr>
          <w:p w:rsidR="001615C6" w:rsidRPr="00067A4D" w:rsidRDefault="001615C6" w:rsidP="000E6908">
            <w:r w:rsidRPr="00067A4D">
              <w:rPr>
                <w:noProof/>
              </w:rPr>
              <w:drawing>
                <wp:inline distT="0" distB="0" distL="0" distR="0" wp14:anchorId="342F33ED" wp14:editId="11E7D9C7">
                  <wp:extent cx="5605145" cy="3669665"/>
                  <wp:effectExtent l="19050" t="0" r="0" b="0"/>
                  <wp:docPr id="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5605145" cy="3669665"/>
                          </a:xfrm>
                          <a:prstGeom prst="rect">
                            <a:avLst/>
                          </a:prstGeom>
                          <a:noFill/>
                          <a:ln w="9525">
                            <a:noFill/>
                            <a:miter lim="800000"/>
                            <a:headEnd/>
                            <a:tailEnd/>
                          </a:ln>
                        </pic:spPr>
                      </pic:pic>
                    </a:graphicData>
                  </a:graphic>
                </wp:inline>
              </w:drawing>
            </w:r>
          </w:p>
        </w:tc>
      </w:tr>
      <w:tr w:rsidR="001615C6" w:rsidRPr="00067A4D" w:rsidTr="00314DD8">
        <w:trPr>
          <w:gridAfter w:val="1"/>
          <w:wAfter w:w="2522" w:type="dxa"/>
        </w:trPr>
        <w:tc>
          <w:tcPr>
            <w:tcW w:w="1317" w:type="dxa"/>
            <w:shd w:val="clear" w:color="auto" w:fill="348DF8"/>
          </w:tcPr>
          <w:p w:rsidR="001615C6" w:rsidRPr="00067A4D" w:rsidRDefault="001615C6" w:rsidP="00E37A73">
            <w:pPr>
              <w:spacing w:before="100" w:beforeAutospacing="1" w:after="100" w:afterAutospacing="1"/>
            </w:pPr>
          </w:p>
        </w:tc>
        <w:tc>
          <w:tcPr>
            <w:tcW w:w="5177" w:type="dxa"/>
          </w:tcPr>
          <w:p w:rsidR="001615C6" w:rsidRPr="00067A4D" w:rsidRDefault="001615C6" w:rsidP="00E37A73">
            <w:pPr>
              <w:spacing w:before="100" w:beforeAutospacing="1" w:after="100" w:afterAutospacing="1"/>
              <w:rPr>
                <w:sz w:val="16"/>
                <w:szCs w:val="16"/>
              </w:rPr>
            </w:pPr>
            <w:r w:rsidRPr="00067A4D">
              <w:rPr>
                <w:sz w:val="16"/>
                <w:szCs w:val="16"/>
              </w:rPr>
              <w:t>Non-holiday week</w:t>
            </w:r>
          </w:p>
        </w:tc>
      </w:tr>
      <w:tr w:rsidR="001615C6" w:rsidRPr="00067A4D" w:rsidTr="00314DD8">
        <w:trPr>
          <w:gridAfter w:val="1"/>
          <w:wAfter w:w="2522" w:type="dxa"/>
        </w:trPr>
        <w:tc>
          <w:tcPr>
            <w:tcW w:w="1317" w:type="dxa"/>
            <w:shd w:val="clear" w:color="auto" w:fill="92D050"/>
          </w:tcPr>
          <w:p w:rsidR="001615C6" w:rsidRPr="00067A4D" w:rsidRDefault="001615C6" w:rsidP="00E37A73">
            <w:pPr>
              <w:spacing w:before="100" w:beforeAutospacing="1" w:after="100" w:afterAutospacing="1"/>
            </w:pPr>
          </w:p>
        </w:tc>
        <w:tc>
          <w:tcPr>
            <w:tcW w:w="5177" w:type="dxa"/>
          </w:tcPr>
          <w:p w:rsidR="001615C6" w:rsidRPr="00067A4D" w:rsidRDefault="001615C6" w:rsidP="00E37A73">
            <w:pPr>
              <w:spacing w:before="100" w:beforeAutospacing="1" w:after="100" w:afterAutospacing="1"/>
              <w:rPr>
                <w:sz w:val="16"/>
                <w:szCs w:val="16"/>
              </w:rPr>
            </w:pPr>
            <w:r w:rsidRPr="00067A4D">
              <w:rPr>
                <w:sz w:val="16"/>
                <w:szCs w:val="16"/>
              </w:rPr>
              <w:t>School holiday week</w:t>
            </w:r>
          </w:p>
        </w:tc>
      </w:tr>
      <w:tr w:rsidR="001615C6" w:rsidRPr="00067A4D" w:rsidTr="00314DD8">
        <w:trPr>
          <w:gridAfter w:val="1"/>
          <w:wAfter w:w="2522" w:type="dxa"/>
        </w:trPr>
        <w:tc>
          <w:tcPr>
            <w:tcW w:w="1317" w:type="dxa"/>
            <w:shd w:val="clear" w:color="auto" w:fill="FF9933"/>
          </w:tcPr>
          <w:p w:rsidR="001615C6" w:rsidRPr="00067A4D" w:rsidRDefault="001615C6" w:rsidP="00E37A73">
            <w:pPr>
              <w:spacing w:before="100" w:beforeAutospacing="1" w:after="100" w:afterAutospacing="1"/>
            </w:pPr>
          </w:p>
        </w:tc>
        <w:tc>
          <w:tcPr>
            <w:tcW w:w="5177" w:type="dxa"/>
          </w:tcPr>
          <w:p w:rsidR="001615C6" w:rsidRPr="00067A4D" w:rsidRDefault="001615C6" w:rsidP="00E37A73">
            <w:pPr>
              <w:spacing w:before="100" w:beforeAutospacing="1" w:after="100" w:afterAutospacing="1"/>
              <w:rPr>
                <w:sz w:val="16"/>
                <w:szCs w:val="16"/>
              </w:rPr>
            </w:pPr>
            <w:r w:rsidRPr="00067A4D">
              <w:rPr>
                <w:sz w:val="16"/>
                <w:szCs w:val="16"/>
              </w:rPr>
              <w:t>Public holiday week</w:t>
            </w:r>
          </w:p>
        </w:tc>
      </w:tr>
    </w:tbl>
    <w:p w:rsidR="00C01D94" w:rsidRDefault="00C01D94" w:rsidP="00C01D94"/>
    <w:p w:rsidR="00C32DE2" w:rsidRPr="00B816D4" w:rsidRDefault="00506060" w:rsidP="00C32DE2">
      <w:pPr>
        <w:keepNext/>
        <w:rPr>
          <w:b/>
          <w:i/>
        </w:rPr>
      </w:pPr>
      <w:r>
        <w:rPr>
          <w:b/>
          <w:i/>
        </w:rPr>
        <w:t>4.3.2</w:t>
      </w:r>
      <w:r w:rsidR="00C32DE2" w:rsidRPr="00B816D4">
        <w:rPr>
          <w:b/>
          <w:i/>
        </w:rPr>
        <w:t xml:space="preserve">. </w:t>
      </w:r>
      <w:r w:rsidR="00C32DE2">
        <w:rPr>
          <w:b/>
          <w:i/>
        </w:rPr>
        <w:t>Where did vehicles travel?</w:t>
      </w:r>
    </w:p>
    <w:p w:rsidR="003246F0" w:rsidRDefault="003246F0" w:rsidP="00DA3320">
      <w:pPr>
        <w:keepLines/>
      </w:pPr>
      <w:bookmarkStart w:id="2" w:name="_Ref387931527"/>
      <w:bookmarkStart w:id="3" w:name="_Toc384304548"/>
      <w:bookmarkStart w:id="4" w:name="_Toc405293611"/>
      <w:r>
        <w:t xml:space="preserve">Over the full </w:t>
      </w:r>
      <w:r w:rsidR="00314DD8">
        <w:t>12-month</w:t>
      </w:r>
      <w:r>
        <w:t xml:space="preserve"> period 92 vehicles had NAVMAN fitted</w:t>
      </w:r>
      <w:r w:rsidR="00C01D94">
        <w:t xml:space="preserve">. </w:t>
      </w:r>
      <w:r>
        <w:t xml:space="preserve">The 92 vehicles travelled just over 1.8 million kilometres in the </w:t>
      </w:r>
      <w:r w:rsidR="00314DD8">
        <w:t>12-month</w:t>
      </w:r>
      <w:r>
        <w:t xml:space="preserve"> period, and were on the road for over 33,000 hours</w:t>
      </w:r>
      <w:r w:rsidR="00C01D94">
        <w:t xml:space="preserve">. </w:t>
      </w:r>
      <w:r>
        <w:t>Troopies bore the major share of total travel overall and also travel the highest average distance per vehicle, over 22,000 kilometres</w:t>
      </w:r>
      <w:r w:rsidR="00C01D94">
        <w:t xml:space="preserve">. </w:t>
      </w:r>
    </w:p>
    <w:p w:rsidR="003246F0" w:rsidRDefault="003246F0" w:rsidP="003246F0">
      <w:pPr>
        <w:pStyle w:val="TableTitle"/>
        <w:rPr>
          <w:rFonts w:ascii="Arial" w:hAnsi="Arial" w:cs="Arial"/>
        </w:rPr>
      </w:pPr>
      <w:r w:rsidRPr="003246F0">
        <w:rPr>
          <w:rFonts w:ascii="Arial" w:hAnsi="Arial" w:cs="Arial"/>
        </w:rPr>
        <w:lastRenderedPageBreak/>
        <w:t xml:space="preserve">Table </w:t>
      </w:r>
      <w:bookmarkEnd w:id="2"/>
      <w:r w:rsidR="00506060">
        <w:rPr>
          <w:rFonts w:ascii="Arial" w:hAnsi="Arial" w:cs="Arial"/>
        </w:rPr>
        <w:t xml:space="preserve">2: </w:t>
      </w:r>
      <w:r w:rsidRPr="003246F0">
        <w:rPr>
          <w:rFonts w:ascii="Arial" w:hAnsi="Arial" w:cs="Arial"/>
        </w:rPr>
        <w:t>Annual travel by vehicle type</w:t>
      </w:r>
      <w:bookmarkEnd w:id="3"/>
      <w:bookmarkEnd w:id="4"/>
    </w:p>
    <w:tbl>
      <w:tblPr>
        <w:tblW w:w="9062"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3392"/>
        <w:gridCol w:w="1890"/>
        <w:gridCol w:w="1890"/>
        <w:gridCol w:w="1890"/>
      </w:tblGrid>
      <w:tr w:rsidR="00506060" w:rsidRPr="005C3F36" w:rsidTr="00F23E66">
        <w:trPr>
          <w:trHeight w:val="370"/>
        </w:trPr>
        <w:tc>
          <w:tcPr>
            <w:tcW w:w="3392" w:type="dxa"/>
            <w:tcBorders>
              <w:bottom w:val="single" w:sz="8" w:space="0" w:color="000000"/>
            </w:tcBorders>
            <w:shd w:val="clear" w:color="auto" w:fill="000000"/>
            <w:vAlign w:val="center"/>
          </w:tcPr>
          <w:p w:rsidR="00506060" w:rsidRPr="005C3F36" w:rsidRDefault="00506060" w:rsidP="00506060">
            <w:pPr>
              <w:keepNext/>
              <w:jc w:val="left"/>
              <w:rPr>
                <w:b/>
                <w:bCs/>
                <w:color w:val="FFFFFF"/>
                <w:szCs w:val="22"/>
              </w:rPr>
            </w:pPr>
            <w:r>
              <w:rPr>
                <w:b/>
                <w:bCs/>
                <w:color w:val="FFFFFF"/>
                <w:szCs w:val="22"/>
              </w:rPr>
              <w:t>Vehicle type</w:t>
            </w:r>
          </w:p>
        </w:tc>
        <w:tc>
          <w:tcPr>
            <w:tcW w:w="1890" w:type="dxa"/>
            <w:tcBorders>
              <w:bottom w:val="single" w:sz="8" w:space="0" w:color="000000"/>
            </w:tcBorders>
            <w:shd w:val="clear" w:color="auto" w:fill="000000"/>
          </w:tcPr>
          <w:p w:rsidR="00506060" w:rsidRPr="005C3F36" w:rsidRDefault="00506060" w:rsidP="00506060">
            <w:pPr>
              <w:keepNext/>
              <w:jc w:val="center"/>
              <w:rPr>
                <w:b/>
                <w:bCs/>
                <w:color w:val="FFFFFF"/>
                <w:szCs w:val="22"/>
              </w:rPr>
            </w:pPr>
            <w:r>
              <w:rPr>
                <w:b/>
                <w:bCs/>
                <w:color w:val="FFFFFF"/>
                <w:szCs w:val="22"/>
              </w:rPr>
              <w:t>Distance travelled (km)</w:t>
            </w:r>
          </w:p>
        </w:tc>
        <w:tc>
          <w:tcPr>
            <w:tcW w:w="1890" w:type="dxa"/>
            <w:tcBorders>
              <w:bottom w:val="single" w:sz="8" w:space="0" w:color="000000"/>
            </w:tcBorders>
            <w:shd w:val="clear" w:color="auto" w:fill="000000"/>
          </w:tcPr>
          <w:p w:rsidR="00506060" w:rsidRPr="005C3F36" w:rsidRDefault="00506060" w:rsidP="00506060">
            <w:pPr>
              <w:keepNext/>
              <w:jc w:val="center"/>
              <w:rPr>
                <w:b/>
                <w:bCs/>
                <w:color w:val="FFFFFF"/>
                <w:szCs w:val="22"/>
              </w:rPr>
            </w:pPr>
            <w:r>
              <w:rPr>
                <w:b/>
                <w:bCs/>
                <w:color w:val="FFFFFF"/>
                <w:szCs w:val="22"/>
              </w:rPr>
              <w:t>Travel time (hrs)</w:t>
            </w:r>
          </w:p>
        </w:tc>
        <w:tc>
          <w:tcPr>
            <w:tcW w:w="1890" w:type="dxa"/>
            <w:tcBorders>
              <w:bottom w:val="single" w:sz="8" w:space="0" w:color="000000"/>
            </w:tcBorders>
            <w:shd w:val="clear" w:color="auto" w:fill="000000"/>
          </w:tcPr>
          <w:p w:rsidR="00506060" w:rsidRPr="005C3F36" w:rsidRDefault="00506060" w:rsidP="00E37A73">
            <w:pPr>
              <w:keepNext/>
              <w:jc w:val="center"/>
              <w:rPr>
                <w:b/>
                <w:bCs/>
                <w:color w:val="FFFFFF"/>
                <w:szCs w:val="22"/>
              </w:rPr>
            </w:pPr>
            <w:r>
              <w:rPr>
                <w:b/>
                <w:bCs/>
                <w:color w:val="FFFFFF"/>
                <w:szCs w:val="22"/>
              </w:rPr>
              <w:t>Fleet size</w:t>
            </w:r>
          </w:p>
        </w:tc>
      </w:tr>
      <w:tr w:rsidR="00F23E66" w:rsidRPr="00F23E66" w:rsidTr="00F23E66">
        <w:trPr>
          <w:trHeight w:val="370"/>
        </w:trPr>
        <w:tc>
          <w:tcPr>
            <w:tcW w:w="9062" w:type="dxa"/>
            <w:gridSpan w:val="4"/>
            <w:tcBorders>
              <w:top w:val="single" w:sz="8" w:space="0" w:color="000000"/>
              <w:left w:val="single" w:sz="8" w:space="0" w:color="000000"/>
              <w:bottom w:val="single" w:sz="8" w:space="0" w:color="000000"/>
              <w:right w:val="single" w:sz="8" w:space="0" w:color="000000"/>
            </w:tcBorders>
          </w:tcPr>
          <w:p w:rsidR="00F23E66" w:rsidRPr="00F23E66" w:rsidRDefault="00F23E66" w:rsidP="00F23E66">
            <w:pPr>
              <w:keepNext/>
              <w:jc w:val="left"/>
              <w:rPr>
                <w:b/>
                <w:lang w:eastAsia="en-US"/>
              </w:rPr>
            </w:pPr>
            <w:r w:rsidRPr="00F23E66">
              <w:rPr>
                <w:b/>
                <w:lang w:eastAsia="en-US"/>
              </w:rPr>
              <w:t>Total fleet travel</w:t>
            </w:r>
          </w:p>
        </w:tc>
      </w:tr>
      <w:tr w:rsidR="00506060" w:rsidRPr="0069118B" w:rsidTr="00F23E66">
        <w:trPr>
          <w:trHeight w:val="370"/>
        </w:trPr>
        <w:tc>
          <w:tcPr>
            <w:tcW w:w="3392" w:type="dxa"/>
            <w:tcBorders>
              <w:top w:val="single" w:sz="8" w:space="0" w:color="000000"/>
              <w:bottom w:val="single" w:sz="8" w:space="0" w:color="000000"/>
            </w:tcBorders>
          </w:tcPr>
          <w:p w:rsidR="00506060" w:rsidRPr="003246F0" w:rsidRDefault="00506060" w:rsidP="00506060">
            <w:pPr>
              <w:pStyle w:val="TableText"/>
              <w:spacing w:before="40" w:after="40"/>
              <w:rPr>
                <w:rFonts w:ascii="Arial" w:hAnsi="Arial" w:cs="Arial"/>
              </w:rPr>
            </w:pPr>
            <w:r w:rsidRPr="003246F0">
              <w:rPr>
                <w:rFonts w:ascii="Arial" w:hAnsi="Arial" w:cs="Arial"/>
              </w:rPr>
              <w:t>Troopie</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1,317,770</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23,870</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59</w:t>
            </w:r>
          </w:p>
        </w:tc>
      </w:tr>
      <w:tr w:rsidR="00506060" w:rsidRPr="0069118B" w:rsidTr="00F23E66">
        <w:trPr>
          <w:trHeight w:val="370"/>
        </w:trPr>
        <w:tc>
          <w:tcPr>
            <w:tcW w:w="3392" w:type="dxa"/>
            <w:tcBorders>
              <w:top w:val="single" w:sz="8" w:space="0" w:color="000000"/>
              <w:bottom w:val="single" w:sz="8" w:space="0" w:color="000000"/>
            </w:tcBorders>
          </w:tcPr>
          <w:p w:rsidR="00506060" w:rsidRPr="003246F0" w:rsidRDefault="00506060" w:rsidP="00506060">
            <w:pPr>
              <w:pStyle w:val="TableText"/>
              <w:spacing w:before="40" w:after="40"/>
              <w:rPr>
                <w:rFonts w:ascii="Arial" w:hAnsi="Arial" w:cs="Arial"/>
              </w:rPr>
            </w:pPr>
            <w:r w:rsidRPr="003246F0">
              <w:rPr>
                <w:rFonts w:ascii="Arial" w:hAnsi="Arial" w:cs="Arial"/>
              </w:rPr>
              <w:t>Trayback</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402,176</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7,019</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23</w:t>
            </w:r>
          </w:p>
        </w:tc>
      </w:tr>
      <w:tr w:rsidR="00506060" w:rsidRPr="0069118B" w:rsidTr="00F23E66">
        <w:trPr>
          <w:trHeight w:val="370"/>
        </w:trPr>
        <w:tc>
          <w:tcPr>
            <w:tcW w:w="3392" w:type="dxa"/>
            <w:tcBorders>
              <w:top w:val="single" w:sz="8" w:space="0" w:color="000000"/>
              <w:bottom w:val="single" w:sz="8" w:space="0" w:color="000000"/>
            </w:tcBorders>
          </w:tcPr>
          <w:p w:rsidR="00506060" w:rsidRPr="003246F0" w:rsidRDefault="00506060" w:rsidP="00506060">
            <w:pPr>
              <w:pStyle w:val="TableText"/>
              <w:spacing w:before="40" w:after="40"/>
              <w:rPr>
                <w:rFonts w:ascii="Arial" w:hAnsi="Arial" w:cs="Arial"/>
              </w:rPr>
            </w:pPr>
            <w:r w:rsidRPr="003246F0">
              <w:rPr>
                <w:rFonts w:ascii="Arial" w:hAnsi="Arial" w:cs="Arial"/>
              </w:rPr>
              <w:t>Other 4WD/Car</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44,901</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1,522</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6</w:t>
            </w:r>
          </w:p>
        </w:tc>
      </w:tr>
      <w:tr w:rsidR="00506060" w:rsidRPr="0069118B" w:rsidTr="00F23E66">
        <w:trPr>
          <w:trHeight w:val="370"/>
        </w:trPr>
        <w:tc>
          <w:tcPr>
            <w:tcW w:w="3392" w:type="dxa"/>
            <w:tcBorders>
              <w:top w:val="single" w:sz="8" w:space="0" w:color="000000"/>
              <w:bottom w:val="single" w:sz="8" w:space="0" w:color="000000"/>
            </w:tcBorders>
          </w:tcPr>
          <w:p w:rsidR="00506060" w:rsidRPr="003246F0" w:rsidRDefault="00506060" w:rsidP="00506060">
            <w:pPr>
              <w:pStyle w:val="TableText"/>
              <w:spacing w:before="40" w:after="40"/>
              <w:rPr>
                <w:rFonts w:ascii="Arial" w:hAnsi="Arial" w:cs="Arial"/>
              </w:rPr>
            </w:pPr>
            <w:r w:rsidRPr="003246F0">
              <w:rPr>
                <w:rFonts w:ascii="Arial" w:hAnsi="Arial" w:cs="Arial"/>
              </w:rPr>
              <w:t>Truck</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39,198</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747</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4</w:t>
            </w:r>
          </w:p>
        </w:tc>
      </w:tr>
      <w:tr w:rsidR="00506060" w:rsidRPr="0069118B" w:rsidTr="00F23E66">
        <w:trPr>
          <w:trHeight w:val="370"/>
        </w:trPr>
        <w:tc>
          <w:tcPr>
            <w:tcW w:w="3392" w:type="dxa"/>
            <w:tcBorders>
              <w:top w:val="single" w:sz="8" w:space="0" w:color="000000"/>
              <w:bottom w:val="single" w:sz="8" w:space="0" w:color="000000"/>
            </w:tcBorders>
          </w:tcPr>
          <w:p w:rsidR="00506060" w:rsidRPr="003246F0" w:rsidRDefault="00506060" w:rsidP="00506060">
            <w:pPr>
              <w:pStyle w:val="TableText"/>
              <w:spacing w:before="40" w:after="40"/>
              <w:rPr>
                <w:rFonts w:ascii="Arial" w:hAnsi="Arial" w:cs="Arial"/>
                <w:b/>
              </w:rPr>
            </w:pPr>
            <w:r w:rsidRPr="003246F0">
              <w:rPr>
                <w:rFonts w:ascii="Arial" w:hAnsi="Arial" w:cs="Arial"/>
                <w:b/>
              </w:rPr>
              <w:t>Total</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b/>
              </w:rPr>
            </w:pPr>
            <w:r w:rsidRPr="003246F0">
              <w:rPr>
                <w:rFonts w:ascii="Arial" w:hAnsi="Arial" w:cs="Arial"/>
                <w:b/>
              </w:rPr>
              <w:t>1,804,044</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b/>
              </w:rPr>
            </w:pPr>
            <w:r w:rsidRPr="003246F0">
              <w:rPr>
                <w:rFonts w:ascii="Arial" w:hAnsi="Arial" w:cs="Arial"/>
                <w:b/>
              </w:rPr>
              <w:t>33,158</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b/>
              </w:rPr>
            </w:pPr>
            <w:r w:rsidRPr="003246F0">
              <w:rPr>
                <w:rFonts w:ascii="Arial" w:hAnsi="Arial" w:cs="Arial"/>
                <w:b/>
              </w:rPr>
              <w:t>92</w:t>
            </w:r>
          </w:p>
        </w:tc>
      </w:tr>
      <w:tr w:rsidR="00F23E66" w:rsidRPr="00F23E66" w:rsidTr="00F23E66">
        <w:trPr>
          <w:trHeight w:val="370"/>
        </w:trPr>
        <w:tc>
          <w:tcPr>
            <w:tcW w:w="9062" w:type="dxa"/>
            <w:gridSpan w:val="4"/>
            <w:tcBorders>
              <w:top w:val="single" w:sz="8" w:space="0" w:color="000000"/>
              <w:bottom w:val="single" w:sz="8" w:space="0" w:color="000000"/>
            </w:tcBorders>
          </w:tcPr>
          <w:p w:rsidR="00F23E66" w:rsidRPr="00F23E66" w:rsidRDefault="00F23E66" w:rsidP="00506060">
            <w:pPr>
              <w:keepNext/>
              <w:rPr>
                <w:b/>
                <w:lang w:eastAsia="en-US"/>
              </w:rPr>
            </w:pPr>
            <w:r w:rsidRPr="00F23E66">
              <w:rPr>
                <w:b/>
                <w:lang w:eastAsia="en-US"/>
              </w:rPr>
              <w:t>Average per vehicle</w:t>
            </w:r>
          </w:p>
        </w:tc>
      </w:tr>
      <w:tr w:rsidR="00506060" w:rsidRPr="0069118B" w:rsidTr="00F23E66">
        <w:trPr>
          <w:trHeight w:val="370"/>
        </w:trPr>
        <w:tc>
          <w:tcPr>
            <w:tcW w:w="3392" w:type="dxa"/>
            <w:tcBorders>
              <w:top w:val="single" w:sz="8" w:space="0" w:color="000000"/>
              <w:bottom w:val="single" w:sz="8" w:space="0" w:color="000000"/>
            </w:tcBorders>
          </w:tcPr>
          <w:p w:rsidR="00506060" w:rsidRPr="003246F0" w:rsidRDefault="00506060" w:rsidP="00506060">
            <w:pPr>
              <w:pStyle w:val="TableText"/>
              <w:spacing w:before="40" w:after="40"/>
              <w:rPr>
                <w:rFonts w:ascii="Arial" w:hAnsi="Arial" w:cs="Arial"/>
              </w:rPr>
            </w:pPr>
            <w:r w:rsidRPr="003246F0">
              <w:rPr>
                <w:rFonts w:ascii="Arial" w:hAnsi="Arial" w:cs="Arial"/>
              </w:rPr>
              <w:t>Troopie</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22,335</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405</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p>
        </w:tc>
      </w:tr>
      <w:tr w:rsidR="00506060" w:rsidRPr="0069118B" w:rsidTr="00F23E66">
        <w:trPr>
          <w:trHeight w:val="370"/>
        </w:trPr>
        <w:tc>
          <w:tcPr>
            <w:tcW w:w="3392" w:type="dxa"/>
            <w:tcBorders>
              <w:top w:val="single" w:sz="8" w:space="0" w:color="000000"/>
              <w:bottom w:val="single" w:sz="8" w:space="0" w:color="000000"/>
            </w:tcBorders>
          </w:tcPr>
          <w:p w:rsidR="00506060" w:rsidRPr="003246F0" w:rsidRDefault="00506060" w:rsidP="00506060">
            <w:pPr>
              <w:pStyle w:val="TableText"/>
              <w:spacing w:before="40" w:after="40"/>
              <w:rPr>
                <w:rFonts w:ascii="Arial" w:hAnsi="Arial" w:cs="Arial"/>
              </w:rPr>
            </w:pPr>
            <w:r w:rsidRPr="003246F0">
              <w:rPr>
                <w:rFonts w:ascii="Arial" w:hAnsi="Arial" w:cs="Arial"/>
              </w:rPr>
              <w:t>Trayback</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17,486</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305</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p>
        </w:tc>
      </w:tr>
      <w:tr w:rsidR="00506060" w:rsidRPr="0069118B" w:rsidTr="00F23E66">
        <w:trPr>
          <w:trHeight w:val="370"/>
        </w:trPr>
        <w:tc>
          <w:tcPr>
            <w:tcW w:w="3392" w:type="dxa"/>
            <w:tcBorders>
              <w:top w:val="single" w:sz="8" w:space="0" w:color="000000"/>
              <w:bottom w:val="single" w:sz="8" w:space="0" w:color="000000"/>
            </w:tcBorders>
          </w:tcPr>
          <w:p w:rsidR="00506060" w:rsidRPr="003246F0" w:rsidRDefault="00506060" w:rsidP="00506060">
            <w:pPr>
              <w:pStyle w:val="TableText"/>
              <w:spacing w:before="40" w:after="40"/>
              <w:rPr>
                <w:rFonts w:ascii="Arial" w:hAnsi="Arial" w:cs="Arial"/>
              </w:rPr>
            </w:pPr>
            <w:r w:rsidRPr="003246F0">
              <w:rPr>
                <w:rFonts w:ascii="Arial" w:hAnsi="Arial" w:cs="Arial"/>
              </w:rPr>
              <w:t>Other 4WD/Car</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7,484</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254</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p>
        </w:tc>
      </w:tr>
      <w:tr w:rsidR="00506060" w:rsidRPr="0069118B" w:rsidTr="00F23E66">
        <w:trPr>
          <w:trHeight w:val="370"/>
        </w:trPr>
        <w:tc>
          <w:tcPr>
            <w:tcW w:w="3392" w:type="dxa"/>
            <w:tcBorders>
              <w:top w:val="single" w:sz="8" w:space="0" w:color="000000"/>
              <w:bottom w:val="single" w:sz="8" w:space="0" w:color="000000"/>
            </w:tcBorders>
          </w:tcPr>
          <w:p w:rsidR="00506060" w:rsidRPr="003246F0" w:rsidRDefault="00506060" w:rsidP="00506060">
            <w:pPr>
              <w:pStyle w:val="TableText"/>
              <w:spacing w:before="40" w:after="40"/>
              <w:rPr>
                <w:rFonts w:ascii="Arial" w:hAnsi="Arial" w:cs="Arial"/>
              </w:rPr>
            </w:pPr>
            <w:r w:rsidRPr="003246F0">
              <w:rPr>
                <w:rFonts w:ascii="Arial" w:hAnsi="Arial" w:cs="Arial"/>
              </w:rPr>
              <w:t>Truck</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9,799</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187</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p>
        </w:tc>
      </w:tr>
      <w:tr w:rsidR="00506060" w:rsidRPr="0069118B" w:rsidTr="00F23E66">
        <w:trPr>
          <w:trHeight w:val="370"/>
        </w:trPr>
        <w:tc>
          <w:tcPr>
            <w:tcW w:w="3392" w:type="dxa"/>
            <w:tcBorders>
              <w:top w:val="single" w:sz="8" w:space="0" w:color="000000"/>
              <w:bottom w:val="single" w:sz="8" w:space="0" w:color="000000"/>
            </w:tcBorders>
          </w:tcPr>
          <w:p w:rsidR="00506060" w:rsidRPr="003246F0" w:rsidRDefault="00506060" w:rsidP="00506060">
            <w:pPr>
              <w:pStyle w:val="TableText"/>
              <w:spacing w:before="40" w:after="40"/>
              <w:rPr>
                <w:rFonts w:ascii="Arial" w:hAnsi="Arial" w:cs="Arial"/>
                <w:b/>
              </w:rPr>
            </w:pPr>
            <w:r w:rsidRPr="003246F0">
              <w:rPr>
                <w:rFonts w:ascii="Arial" w:hAnsi="Arial" w:cs="Arial"/>
                <w:b/>
              </w:rPr>
              <w:t>Average all vehicles</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b/>
              </w:rPr>
            </w:pPr>
            <w:r w:rsidRPr="003246F0">
              <w:rPr>
                <w:rFonts w:ascii="Arial" w:hAnsi="Arial" w:cs="Arial"/>
                <w:b/>
              </w:rPr>
              <w:t>19,609</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b/>
              </w:rPr>
            </w:pPr>
            <w:r w:rsidRPr="003246F0">
              <w:rPr>
                <w:rFonts w:ascii="Arial" w:hAnsi="Arial" w:cs="Arial"/>
                <w:b/>
              </w:rPr>
              <w:t>360</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b/>
              </w:rPr>
            </w:pPr>
          </w:p>
        </w:tc>
      </w:tr>
      <w:tr w:rsidR="00F23E66" w:rsidRPr="00F23E66" w:rsidTr="00F23E66">
        <w:trPr>
          <w:trHeight w:val="370"/>
        </w:trPr>
        <w:tc>
          <w:tcPr>
            <w:tcW w:w="9062" w:type="dxa"/>
            <w:gridSpan w:val="4"/>
            <w:tcBorders>
              <w:top w:val="single" w:sz="8" w:space="0" w:color="000000"/>
              <w:bottom w:val="single" w:sz="8" w:space="0" w:color="000000"/>
            </w:tcBorders>
          </w:tcPr>
          <w:p w:rsidR="00F23E66" w:rsidRPr="00F23E66" w:rsidRDefault="00F23E66" w:rsidP="00F23E66">
            <w:pPr>
              <w:keepNext/>
              <w:jc w:val="left"/>
              <w:rPr>
                <w:b/>
                <w:lang w:eastAsia="en-US"/>
              </w:rPr>
            </w:pPr>
            <w:r w:rsidRPr="00F23E66">
              <w:rPr>
                <w:rFonts w:cs="Arial"/>
                <w:b/>
              </w:rPr>
              <w:t>Maximum per vehicle type</w:t>
            </w:r>
          </w:p>
        </w:tc>
      </w:tr>
      <w:tr w:rsidR="00506060" w:rsidRPr="0069118B" w:rsidTr="00F23E66">
        <w:trPr>
          <w:trHeight w:val="370"/>
        </w:trPr>
        <w:tc>
          <w:tcPr>
            <w:tcW w:w="3392" w:type="dxa"/>
            <w:tcBorders>
              <w:top w:val="single" w:sz="8" w:space="0" w:color="000000"/>
              <w:bottom w:val="single" w:sz="8" w:space="0" w:color="000000"/>
            </w:tcBorders>
          </w:tcPr>
          <w:p w:rsidR="00506060" w:rsidRPr="003246F0" w:rsidRDefault="00506060" w:rsidP="00506060">
            <w:pPr>
              <w:pStyle w:val="TableText"/>
              <w:spacing w:before="40" w:after="40"/>
              <w:rPr>
                <w:rFonts w:ascii="Arial" w:hAnsi="Arial" w:cs="Arial"/>
              </w:rPr>
            </w:pPr>
            <w:r w:rsidRPr="003246F0">
              <w:rPr>
                <w:rFonts w:ascii="Arial" w:hAnsi="Arial" w:cs="Arial"/>
              </w:rPr>
              <w:t>Troopie</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46,900</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778</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b/>
              </w:rPr>
            </w:pPr>
          </w:p>
        </w:tc>
      </w:tr>
      <w:tr w:rsidR="00506060" w:rsidRPr="0069118B" w:rsidTr="00F23E66">
        <w:trPr>
          <w:trHeight w:val="370"/>
        </w:trPr>
        <w:tc>
          <w:tcPr>
            <w:tcW w:w="3392" w:type="dxa"/>
            <w:tcBorders>
              <w:top w:val="single" w:sz="8" w:space="0" w:color="000000"/>
              <w:bottom w:val="single" w:sz="8" w:space="0" w:color="000000"/>
            </w:tcBorders>
          </w:tcPr>
          <w:p w:rsidR="00506060" w:rsidRPr="003246F0" w:rsidRDefault="00506060" w:rsidP="00506060">
            <w:pPr>
              <w:pStyle w:val="TableText"/>
              <w:spacing w:before="40" w:after="40"/>
              <w:rPr>
                <w:rFonts w:ascii="Arial" w:hAnsi="Arial" w:cs="Arial"/>
              </w:rPr>
            </w:pPr>
            <w:r w:rsidRPr="003246F0">
              <w:rPr>
                <w:rFonts w:ascii="Arial" w:hAnsi="Arial" w:cs="Arial"/>
              </w:rPr>
              <w:t>Trayback</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36,600</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520</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b/>
              </w:rPr>
            </w:pPr>
          </w:p>
        </w:tc>
      </w:tr>
      <w:tr w:rsidR="00506060" w:rsidRPr="0069118B" w:rsidTr="00F23E66">
        <w:trPr>
          <w:trHeight w:val="370"/>
        </w:trPr>
        <w:tc>
          <w:tcPr>
            <w:tcW w:w="3392" w:type="dxa"/>
            <w:tcBorders>
              <w:top w:val="single" w:sz="8" w:space="0" w:color="000000"/>
              <w:bottom w:val="single" w:sz="8" w:space="0" w:color="000000"/>
            </w:tcBorders>
          </w:tcPr>
          <w:p w:rsidR="00506060" w:rsidRPr="003246F0" w:rsidRDefault="00506060" w:rsidP="00506060">
            <w:pPr>
              <w:pStyle w:val="TableText"/>
              <w:spacing w:before="40" w:after="40"/>
              <w:rPr>
                <w:rFonts w:ascii="Arial" w:hAnsi="Arial" w:cs="Arial"/>
              </w:rPr>
            </w:pPr>
            <w:r w:rsidRPr="003246F0">
              <w:rPr>
                <w:rFonts w:ascii="Arial" w:hAnsi="Arial" w:cs="Arial"/>
              </w:rPr>
              <w:t>Other 4WD/Car</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10,850</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325</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b/>
              </w:rPr>
            </w:pPr>
          </w:p>
        </w:tc>
      </w:tr>
      <w:tr w:rsidR="00506060" w:rsidRPr="0069118B" w:rsidTr="00F23E66">
        <w:trPr>
          <w:trHeight w:val="370"/>
        </w:trPr>
        <w:tc>
          <w:tcPr>
            <w:tcW w:w="3392" w:type="dxa"/>
            <w:tcBorders>
              <w:top w:val="single" w:sz="8" w:space="0" w:color="000000"/>
              <w:bottom w:val="single" w:sz="8" w:space="0" w:color="000000"/>
            </w:tcBorders>
          </w:tcPr>
          <w:p w:rsidR="00506060" w:rsidRPr="003246F0" w:rsidRDefault="00506060" w:rsidP="00506060">
            <w:pPr>
              <w:pStyle w:val="TableText"/>
              <w:spacing w:before="40" w:after="40"/>
              <w:rPr>
                <w:rFonts w:ascii="Arial" w:hAnsi="Arial" w:cs="Arial"/>
              </w:rPr>
            </w:pPr>
            <w:r w:rsidRPr="003246F0">
              <w:rPr>
                <w:rFonts w:ascii="Arial" w:hAnsi="Arial" w:cs="Arial"/>
              </w:rPr>
              <w:t>Truck</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15,800</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rPr>
            </w:pPr>
            <w:r w:rsidRPr="003246F0">
              <w:rPr>
                <w:rFonts w:ascii="Arial" w:hAnsi="Arial" w:cs="Arial"/>
              </w:rPr>
              <w:t>300</w:t>
            </w:r>
          </w:p>
        </w:tc>
        <w:tc>
          <w:tcPr>
            <w:tcW w:w="1890" w:type="dxa"/>
            <w:tcBorders>
              <w:top w:val="single" w:sz="8" w:space="0" w:color="000000"/>
              <w:bottom w:val="single" w:sz="8" w:space="0" w:color="000000"/>
            </w:tcBorders>
          </w:tcPr>
          <w:p w:rsidR="00506060" w:rsidRPr="003246F0" w:rsidRDefault="00506060" w:rsidP="00506060">
            <w:pPr>
              <w:pStyle w:val="TableText"/>
              <w:spacing w:before="40" w:after="40"/>
              <w:jc w:val="center"/>
              <w:rPr>
                <w:rFonts w:ascii="Arial" w:hAnsi="Arial" w:cs="Arial"/>
                <w:b/>
              </w:rPr>
            </w:pPr>
          </w:p>
        </w:tc>
      </w:tr>
    </w:tbl>
    <w:p w:rsidR="003246F0" w:rsidRDefault="003246F0" w:rsidP="003246F0">
      <w:pPr>
        <w:rPr>
          <w:rFonts w:cs="Arial"/>
        </w:rPr>
      </w:pPr>
    </w:p>
    <w:p w:rsidR="0068179A" w:rsidRDefault="00C32DE2" w:rsidP="002D1A84">
      <w:pPr>
        <w:rPr>
          <w:rFonts w:cs="Arial"/>
        </w:rPr>
      </w:pPr>
      <w:r>
        <w:rPr>
          <w:rFonts w:cs="Arial"/>
        </w:rPr>
        <w:t>Geographically, travel is spread throughout the CLC region and well beyond</w:t>
      </w:r>
      <w:r w:rsidR="00C01D94">
        <w:rPr>
          <w:rFonts w:cs="Arial"/>
        </w:rPr>
        <w:t xml:space="preserve">. </w:t>
      </w:r>
      <w:r w:rsidR="00F23E66">
        <w:rPr>
          <w:rFonts w:cs="Arial"/>
        </w:rPr>
        <w:t>The study examined trip geography in some detail</w:t>
      </w:r>
      <w:r w:rsidR="00C01D94">
        <w:rPr>
          <w:rFonts w:cs="Arial"/>
        </w:rPr>
        <w:t xml:space="preserve">. </w:t>
      </w:r>
      <w:r w:rsidR="00E37A73" w:rsidRPr="00E37A73">
        <w:rPr>
          <w:rFonts w:cs="Arial"/>
          <w:b/>
        </w:rPr>
        <w:t>Figures </w:t>
      </w:r>
      <w:r w:rsidR="00314DD8">
        <w:rPr>
          <w:rFonts w:cs="Arial"/>
          <w:b/>
        </w:rPr>
        <w:t>7</w:t>
      </w:r>
      <w:r w:rsidR="00E37A73" w:rsidRPr="00E37A73">
        <w:rPr>
          <w:rFonts w:cs="Arial"/>
          <w:b/>
        </w:rPr>
        <w:t> and </w:t>
      </w:r>
      <w:r w:rsidR="00314DD8">
        <w:rPr>
          <w:rFonts w:cs="Arial"/>
          <w:b/>
        </w:rPr>
        <w:t>8</w:t>
      </w:r>
      <w:r w:rsidR="00F23E66">
        <w:rPr>
          <w:rFonts w:cs="Arial"/>
        </w:rPr>
        <w:t xml:space="preserve"> </w:t>
      </w:r>
      <w:r>
        <w:rPr>
          <w:rFonts w:cs="Arial"/>
        </w:rPr>
        <w:t xml:space="preserve">summarise the </w:t>
      </w:r>
      <w:r w:rsidR="00F23E66">
        <w:rPr>
          <w:rFonts w:cs="Arial"/>
        </w:rPr>
        <w:t>divers</w:t>
      </w:r>
      <w:r w:rsidR="00314DD8">
        <w:rPr>
          <w:rFonts w:cs="Arial"/>
        </w:rPr>
        <w:t>e</w:t>
      </w:r>
      <w:r w:rsidR="00F23E66">
        <w:rPr>
          <w:rFonts w:cs="Arial"/>
        </w:rPr>
        <w:t xml:space="preserve"> location of vehicle activity</w:t>
      </w:r>
      <w:r>
        <w:rPr>
          <w:rFonts w:cs="Arial"/>
        </w:rPr>
        <w:t xml:space="preserve"> and the </w:t>
      </w:r>
      <w:r w:rsidR="002D1A84">
        <w:rPr>
          <w:rFonts w:cs="Arial"/>
        </w:rPr>
        <w:t xml:space="preserve">origin-destination combination of travel. </w:t>
      </w:r>
      <w:bookmarkStart w:id="5" w:name="_Ref393205516"/>
      <w:bookmarkStart w:id="6" w:name="_Toc384304477"/>
      <w:bookmarkStart w:id="7" w:name="_Toc405293605"/>
      <w:r w:rsidR="00314DD8">
        <w:rPr>
          <w:rFonts w:cs="Arial"/>
          <w:b/>
        </w:rPr>
        <w:t>Figure 9</w:t>
      </w:r>
      <w:r w:rsidR="00314DD8">
        <w:rPr>
          <w:rFonts w:cs="Arial"/>
        </w:rPr>
        <w:t xml:space="preserve"> shows typical unsealed road conditions on the Plenty Highway</w:t>
      </w:r>
      <w:r w:rsidR="00C01D94">
        <w:rPr>
          <w:rFonts w:cs="Arial"/>
        </w:rPr>
        <w:t xml:space="preserve">. </w:t>
      </w:r>
    </w:p>
    <w:p w:rsidR="00C32DE2" w:rsidRPr="002D1A84" w:rsidRDefault="00E37A73" w:rsidP="002D1A84">
      <w:pPr>
        <w:pStyle w:val="Captionstyle"/>
        <w:keepNext/>
        <w:ind w:left="360"/>
        <w:rPr>
          <w:b w:val="0"/>
          <w:bCs/>
        </w:rPr>
      </w:pPr>
      <w:r>
        <w:lastRenderedPageBreak/>
        <w:t>Figure </w:t>
      </w:r>
      <w:bookmarkEnd w:id="5"/>
      <w:r w:rsidR="00314DD8">
        <w:t>7</w:t>
      </w:r>
      <w:r w:rsidR="00F23E66">
        <w:t xml:space="preserve">: </w:t>
      </w:r>
      <w:r w:rsidR="00C32DE2" w:rsidRPr="00067A4D">
        <w:t>Trip destinations</w:t>
      </w:r>
      <w:bookmarkEnd w:id="6"/>
      <w:bookmarkEnd w:id="7"/>
    </w:p>
    <w:p w:rsidR="00C32DE2" w:rsidRPr="00067A4D" w:rsidRDefault="00C32DE2" w:rsidP="00C32DE2">
      <w:pPr>
        <w:keepNext/>
      </w:pPr>
      <w:r w:rsidRPr="00067A4D">
        <w:rPr>
          <w:noProof/>
        </w:rPr>
        <w:drawing>
          <wp:inline distT="0" distB="0" distL="0" distR="0" wp14:anchorId="340689FA" wp14:editId="79E7FF7A">
            <wp:extent cx="5958000" cy="6361200"/>
            <wp:effectExtent l="0" t="0" r="5080" b="1905"/>
            <wp:docPr id="70" name="Picture 10" descr="\\psf\Home\\Documents\@AkersConsult\Projects\1301-01 Central Land Council Tpt Strategy\GIS\GIS maps of trips\Trips\20140321 All unlinked trips by vehtype and distance GT 500km r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sf\Home\\Documents\@AkersConsult\Projects\1301-01 Central Land Council Tpt Strategy\GIS\GIS maps of trips\Trips\20140321 All unlinked trips by vehtype and distance GT 500km red.bmp"/>
                    <pic:cNvPicPr>
                      <a:picLocks noChangeAspect="1" noChangeArrowheads="1"/>
                    </pic:cNvPicPr>
                  </pic:nvPicPr>
                  <pic:blipFill rotWithShape="1">
                    <a:blip r:embed="rId23"/>
                    <a:srcRect l="1878" r="4814"/>
                    <a:stretch/>
                  </pic:blipFill>
                  <pic:spPr bwMode="auto">
                    <a:xfrm>
                      <a:off x="0" y="0"/>
                      <a:ext cx="5958000" cy="63612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108" w:type="dxa"/>
        <w:tblLook w:val="04A0" w:firstRow="1" w:lastRow="0" w:firstColumn="1" w:lastColumn="0" w:noHBand="0" w:noVBand="1"/>
      </w:tblPr>
      <w:tblGrid>
        <w:gridCol w:w="2268"/>
        <w:gridCol w:w="567"/>
      </w:tblGrid>
      <w:tr w:rsidR="00C32DE2" w:rsidRPr="00314DD8" w:rsidTr="000E6908">
        <w:tc>
          <w:tcPr>
            <w:tcW w:w="2268" w:type="dxa"/>
          </w:tcPr>
          <w:p w:rsidR="00C32DE2" w:rsidRPr="00314DD8" w:rsidRDefault="00C32DE2" w:rsidP="000E6908">
            <w:pPr>
              <w:rPr>
                <w:sz w:val="16"/>
                <w:szCs w:val="16"/>
              </w:rPr>
            </w:pPr>
            <w:r w:rsidRPr="00314DD8">
              <w:rPr>
                <w:sz w:val="16"/>
                <w:szCs w:val="16"/>
              </w:rPr>
              <w:t>Troopies</w:t>
            </w:r>
          </w:p>
        </w:tc>
        <w:tc>
          <w:tcPr>
            <w:tcW w:w="567" w:type="dxa"/>
            <w:shd w:val="clear" w:color="auto" w:fill="DCD7B6"/>
          </w:tcPr>
          <w:p w:rsidR="00C32DE2" w:rsidRPr="00314DD8" w:rsidRDefault="00C32DE2" w:rsidP="000E6908">
            <w:pPr>
              <w:rPr>
                <w:sz w:val="16"/>
                <w:szCs w:val="16"/>
              </w:rPr>
            </w:pPr>
          </w:p>
        </w:tc>
      </w:tr>
      <w:tr w:rsidR="00C32DE2" w:rsidRPr="00314DD8" w:rsidTr="000E6908">
        <w:tc>
          <w:tcPr>
            <w:tcW w:w="2268" w:type="dxa"/>
          </w:tcPr>
          <w:p w:rsidR="00C32DE2" w:rsidRPr="00314DD8" w:rsidRDefault="00C32DE2" w:rsidP="000E6908">
            <w:pPr>
              <w:rPr>
                <w:sz w:val="16"/>
                <w:szCs w:val="16"/>
              </w:rPr>
            </w:pPr>
            <w:r w:rsidRPr="00314DD8">
              <w:rPr>
                <w:sz w:val="16"/>
                <w:szCs w:val="16"/>
              </w:rPr>
              <w:t>Traybacks</w:t>
            </w:r>
          </w:p>
        </w:tc>
        <w:tc>
          <w:tcPr>
            <w:tcW w:w="567" w:type="dxa"/>
            <w:shd w:val="clear" w:color="auto" w:fill="E5B6AD"/>
          </w:tcPr>
          <w:p w:rsidR="00C32DE2" w:rsidRPr="00314DD8" w:rsidRDefault="00C32DE2" w:rsidP="000E6908">
            <w:pPr>
              <w:rPr>
                <w:sz w:val="16"/>
                <w:szCs w:val="16"/>
              </w:rPr>
            </w:pPr>
          </w:p>
        </w:tc>
      </w:tr>
      <w:tr w:rsidR="00C32DE2" w:rsidRPr="00314DD8" w:rsidTr="000E6908">
        <w:tc>
          <w:tcPr>
            <w:tcW w:w="2268" w:type="dxa"/>
          </w:tcPr>
          <w:p w:rsidR="00C32DE2" w:rsidRPr="00314DD8" w:rsidRDefault="00C32DE2" w:rsidP="000E6908">
            <w:pPr>
              <w:rPr>
                <w:sz w:val="16"/>
                <w:szCs w:val="16"/>
              </w:rPr>
            </w:pPr>
            <w:r w:rsidRPr="00314DD8">
              <w:rPr>
                <w:sz w:val="16"/>
                <w:szCs w:val="16"/>
              </w:rPr>
              <w:t>Trucks</w:t>
            </w:r>
          </w:p>
        </w:tc>
        <w:tc>
          <w:tcPr>
            <w:tcW w:w="567" w:type="dxa"/>
            <w:shd w:val="clear" w:color="auto" w:fill="8AC8B8"/>
          </w:tcPr>
          <w:p w:rsidR="00C32DE2" w:rsidRPr="00314DD8" w:rsidRDefault="00C32DE2" w:rsidP="000E6908">
            <w:pPr>
              <w:rPr>
                <w:sz w:val="16"/>
                <w:szCs w:val="16"/>
              </w:rPr>
            </w:pPr>
          </w:p>
        </w:tc>
      </w:tr>
      <w:tr w:rsidR="00C32DE2" w:rsidRPr="00314DD8" w:rsidTr="000E6908">
        <w:tc>
          <w:tcPr>
            <w:tcW w:w="2268" w:type="dxa"/>
          </w:tcPr>
          <w:p w:rsidR="00C32DE2" w:rsidRPr="00314DD8" w:rsidRDefault="00C32DE2" w:rsidP="000E6908">
            <w:pPr>
              <w:rPr>
                <w:sz w:val="16"/>
                <w:szCs w:val="16"/>
              </w:rPr>
            </w:pPr>
            <w:r w:rsidRPr="00314DD8">
              <w:rPr>
                <w:sz w:val="16"/>
                <w:szCs w:val="16"/>
              </w:rPr>
              <w:t>More than 500 trips</w:t>
            </w:r>
          </w:p>
        </w:tc>
        <w:tc>
          <w:tcPr>
            <w:tcW w:w="567" w:type="dxa"/>
            <w:shd w:val="clear" w:color="auto" w:fill="FF0000"/>
          </w:tcPr>
          <w:p w:rsidR="00C32DE2" w:rsidRPr="00314DD8" w:rsidRDefault="00C32DE2" w:rsidP="000E6908">
            <w:pPr>
              <w:rPr>
                <w:sz w:val="16"/>
                <w:szCs w:val="16"/>
              </w:rPr>
            </w:pPr>
          </w:p>
        </w:tc>
      </w:tr>
    </w:tbl>
    <w:p w:rsidR="00C32DE2" w:rsidRPr="00067A4D" w:rsidRDefault="00C32DE2" w:rsidP="00C32DE2"/>
    <w:p w:rsidR="002D1A84" w:rsidRPr="00067A4D" w:rsidRDefault="00314DD8" w:rsidP="002D1A84">
      <w:pPr>
        <w:pStyle w:val="Captionstyle"/>
        <w:keepNext/>
        <w:ind w:left="360"/>
      </w:pPr>
      <w:bookmarkStart w:id="8" w:name="_Toc384304481"/>
      <w:bookmarkStart w:id="9" w:name="_Toc405293606"/>
      <w:r>
        <w:lastRenderedPageBreak/>
        <w:t>Figure 8</w:t>
      </w:r>
      <w:r w:rsidR="00F23E66">
        <w:t xml:space="preserve">: </w:t>
      </w:r>
      <w:r w:rsidR="002D1A84" w:rsidRPr="00067A4D">
        <w:t>All journeys - all vehicles (single journeys hidden)</w:t>
      </w:r>
      <w:bookmarkEnd w:id="8"/>
      <w:bookmarkEnd w:id="9"/>
    </w:p>
    <w:p w:rsidR="002D1A84" w:rsidRDefault="002D1A84" w:rsidP="002D1A84">
      <w:r w:rsidRPr="00067A4D">
        <w:rPr>
          <w:noProof/>
        </w:rPr>
        <w:drawing>
          <wp:inline distT="0" distB="0" distL="0" distR="0" wp14:anchorId="5440EC59" wp14:editId="59B7E414">
            <wp:extent cx="5857200" cy="6364800"/>
            <wp:effectExtent l="0" t="0" r="0" b="0"/>
            <wp:docPr id="71" name="Picture 15" descr="\\psf\Home\\Documents\@AkersConsult\Projects\1301-01 Central Land Council Tpt Strategy\GIS\GIS maps of trips\Journeys\201403301 1xx All Journeys spider1 hidd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sf\Home\\Documents\@AkersConsult\Projects\1301-01 Central Land Council Tpt Strategy\GIS\GIS maps of trips\Journeys\201403301 1xx All Journeys spider1 hidden.bmp"/>
                    <pic:cNvPicPr>
                      <a:picLocks noChangeAspect="1" noChangeArrowheads="1"/>
                    </pic:cNvPicPr>
                  </pic:nvPicPr>
                  <pic:blipFill rotWithShape="1">
                    <a:blip r:embed="rId24"/>
                    <a:srcRect t="5962"/>
                    <a:stretch/>
                  </pic:blipFill>
                  <pic:spPr bwMode="auto">
                    <a:xfrm>
                      <a:off x="0" y="0"/>
                      <a:ext cx="5857200" cy="6364800"/>
                    </a:xfrm>
                    <a:prstGeom prst="rect">
                      <a:avLst/>
                    </a:prstGeom>
                    <a:noFill/>
                    <a:ln>
                      <a:noFill/>
                    </a:ln>
                    <a:extLst>
                      <a:ext uri="{53640926-AAD7-44D8-BBD7-CCE9431645EC}">
                        <a14:shadowObscured xmlns:a14="http://schemas.microsoft.com/office/drawing/2010/main"/>
                      </a:ext>
                    </a:extLst>
                  </pic:spPr>
                </pic:pic>
              </a:graphicData>
            </a:graphic>
          </wp:inline>
        </w:drawing>
      </w:r>
    </w:p>
    <w:p w:rsidR="00314DD8" w:rsidRPr="00067A4D" w:rsidRDefault="00314DD8" w:rsidP="002D1A84">
      <w:r>
        <w:t>Note: the apparently smaller number of trips internal to Alice Springs in comparison to Tennant Creek is due to the co-incidence of multiple suburban locations</w:t>
      </w:r>
      <w:r w:rsidR="00C01D94">
        <w:t xml:space="preserve">. </w:t>
      </w:r>
    </w:p>
    <w:p w:rsidR="00314DD8" w:rsidRDefault="00314DD8" w:rsidP="00314DD8">
      <w:pPr>
        <w:pStyle w:val="Captionstyle"/>
        <w:keepNext/>
        <w:ind w:left="360"/>
        <w:rPr>
          <w:rFonts w:cs="Arial"/>
        </w:rPr>
      </w:pPr>
      <w:r>
        <w:lastRenderedPageBreak/>
        <w:t xml:space="preserve">Figure 9: Plenty Highway – typical unsealed highway </w:t>
      </w:r>
    </w:p>
    <w:p w:rsidR="00314DD8" w:rsidRDefault="00314DD8" w:rsidP="00314DD8">
      <w:pPr>
        <w:rPr>
          <w:rFonts w:cs="Arial"/>
        </w:rPr>
      </w:pPr>
      <w:r>
        <w:rPr>
          <w:rFonts w:cs="Arial"/>
          <w:noProof/>
        </w:rPr>
        <w:drawing>
          <wp:inline distT="0" distB="0" distL="0" distR="0" wp14:anchorId="752C60C8" wp14:editId="4289D1AA">
            <wp:extent cx="5731510" cy="2955199"/>
            <wp:effectExtent l="0" t="0" r="2540" b="0"/>
            <wp:docPr id="11" name="Picture 11" descr="\\.psf\Home\Documents\@AkersConsult\zz-Project Archive\1301-01 Central Land Council Tpt Strategy\Photos\Council meeting\DSCN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f\Home\Documents\@AkersConsult\zz-Project Archive\1301-01 Central Land Council Tpt Strategy\Photos\Council meeting\DSCN248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1268"/>
                    <a:stretch/>
                  </pic:blipFill>
                  <pic:spPr bwMode="auto">
                    <a:xfrm>
                      <a:off x="0" y="0"/>
                      <a:ext cx="5731510" cy="295519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C3D4E16" wp14:editId="16E967FA">
            <wp:extent cx="5731510" cy="3254556"/>
            <wp:effectExtent l="0" t="0" r="2540" b="3175"/>
            <wp:docPr id="10" name="Picture 10" descr="\\.psf\Home\Documents\@AkersConsult\zz-Project Archive\1301-01 Central Land Council Tpt Strategy\Photos\Council meeting\DSCN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f\Home\Documents\@AkersConsult\zz-Project Archive\1301-01 Central Land Council Tpt Strategy\Photos\Council meeting\DSCN249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4306"/>
                    <a:stretch/>
                  </pic:blipFill>
                  <pic:spPr bwMode="auto">
                    <a:xfrm>
                      <a:off x="0" y="0"/>
                      <a:ext cx="5731510" cy="3254556"/>
                    </a:xfrm>
                    <a:prstGeom prst="rect">
                      <a:avLst/>
                    </a:prstGeom>
                    <a:noFill/>
                    <a:ln>
                      <a:noFill/>
                    </a:ln>
                    <a:extLst>
                      <a:ext uri="{53640926-AAD7-44D8-BBD7-CCE9431645EC}">
                        <a14:shadowObscured xmlns:a14="http://schemas.microsoft.com/office/drawing/2010/main"/>
                      </a:ext>
                    </a:extLst>
                  </pic:spPr>
                </pic:pic>
              </a:graphicData>
            </a:graphic>
          </wp:inline>
        </w:drawing>
      </w:r>
    </w:p>
    <w:p w:rsidR="00C32DE2" w:rsidRDefault="00C32DE2" w:rsidP="003246F0">
      <w:pPr>
        <w:rPr>
          <w:rFonts w:cs="Arial"/>
        </w:rPr>
      </w:pPr>
    </w:p>
    <w:p w:rsidR="00C32DE2" w:rsidRPr="00B816D4" w:rsidRDefault="00C32DE2" w:rsidP="00C32DE2">
      <w:pPr>
        <w:keepNext/>
        <w:rPr>
          <w:b/>
          <w:i/>
        </w:rPr>
      </w:pPr>
      <w:r w:rsidRPr="00B816D4">
        <w:rPr>
          <w:b/>
          <w:i/>
        </w:rPr>
        <w:t>4.3.</w:t>
      </w:r>
      <w:r w:rsidR="00F23E66">
        <w:rPr>
          <w:b/>
          <w:i/>
        </w:rPr>
        <w:t>3</w:t>
      </w:r>
      <w:r w:rsidRPr="00B816D4">
        <w:rPr>
          <w:b/>
          <w:i/>
        </w:rPr>
        <w:t xml:space="preserve">. </w:t>
      </w:r>
      <w:r>
        <w:rPr>
          <w:b/>
          <w:i/>
        </w:rPr>
        <w:t>Bookings vs use of vehicles</w:t>
      </w:r>
    </w:p>
    <w:p w:rsidR="00A70E2F" w:rsidRDefault="003246F0" w:rsidP="005A0BDB">
      <w:pPr>
        <w:rPr>
          <w:lang w:eastAsia="en-US"/>
        </w:rPr>
      </w:pPr>
      <w:r>
        <w:rPr>
          <w:lang w:eastAsia="en-US"/>
        </w:rPr>
        <w:t xml:space="preserve">A comparison of bookings with the actual use of vehicles identified: </w:t>
      </w:r>
    </w:p>
    <w:p w:rsidR="003246F0" w:rsidRDefault="003246F0" w:rsidP="003246F0">
      <w:pPr>
        <w:numPr>
          <w:ilvl w:val="0"/>
          <w:numId w:val="16"/>
        </w:numPr>
      </w:pPr>
      <w:r>
        <w:t>vehicles which are booked and used on the day of booking</w:t>
      </w:r>
    </w:p>
    <w:p w:rsidR="003246F0" w:rsidRDefault="003246F0" w:rsidP="003246F0">
      <w:pPr>
        <w:numPr>
          <w:ilvl w:val="0"/>
          <w:numId w:val="16"/>
        </w:numPr>
      </w:pPr>
      <w:r>
        <w:t>vehicles which are booked, but not used on the booked day</w:t>
      </w:r>
    </w:p>
    <w:p w:rsidR="003246F0" w:rsidRDefault="003246F0" w:rsidP="003246F0">
      <w:pPr>
        <w:numPr>
          <w:ilvl w:val="0"/>
          <w:numId w:val="16"/>
        </w:numPr>
      </w:pPr>
      <w:r>
        <w:t>vehicles which are used without being reserved in the VBS</w:t>
      </w:r>
      <w:r w:rsidR="00C01D94">
        <w:t xml:space="preserve">. </w:t>
      </w:r>
    </w:p>
    <w:p w:rsidR="003246F0" w:rsidRDefault="003246F0" w:rsidP="003246F0">
      <w:pPr>
        <w:rPr>
          <w:lang w:eastAsia="en-US"/>
        </w:rPr>
      </w:pPr>
      <w:r>
        <w:rPr>
          <w:lang w:eastAsia="en-US"/>
        </w:rPr>
        <w:t>Ideally, all use of a vehicle would fall into the first category</w:t>
      </w:r>
      <w:r w:rsidR="00C01D94">
        <w:rPr>
          <w:lang w:eastAsia="en-US"/>
        </w:rPr>
        <w:t xml:space="preserve">. </w:t>
      </w:r>
      <w:r>
        <w:rPr>
          <w:lang w:eastAsia="en-US"/>
        </w:rPr>
        <w:t>However, there is a significant number of days when a vehicle was booked but not used or used without having been booked</w:t>
      </w:r>
      <w:r w:rsidR="00C01D94">
        <w:rPr>
          <w:lang w:eastAsia="en-US"/>
        </w:rPr>
        <w:t xml:space="preserve">. </w:t>
      </w:r>
      <w:r w:rsidR="00314DD8" w:rsidRPr="00314DD8">
        <w:rPr>
          <w:b/>
          <w:lang w:eastAsia="en-US"/>
        </w:rPr>
        <w:t>Figure 10</w:t>
      </w:r>
      <w:r w:rsidR="00314DD8">
        <w:rPr>
          <w:lang w:eastAsia="en-US"/>
        </w:rPr>
        <w:t xml:space="preserve"> shows the extent of each category overall, then separately by vehicle type, CLC Unit, location and restricted status. </w:t>
      </w:r>
    </w:p>
    <w:p w:rsidR="003246F0" w:rsidRDefault="00C01D94" w:rsidP="00B816D4">
      <w:pPr>
        <w:pStyle w:val="Captionstyle"/>
        <w:keepNext/>
        <w:ind w:left="360"/>
      </w:pPr>
      <w:bookmarkStart w:id="10" w:name="_Toc405293585"/>
      <w:r>
        <w:lastRenderedPageBreak/>
        <w:t>Figure </w:t>
      </w:r>
      <w:r w:rsidR="00F23E66">
        <w:t xml:space="preserve">10: </w:t>
      </w:r>
      <w:r w:rsidR="003246F0" w:rsidRPr="00067A4D">
        <w:t xml:space="preserve">Bookings and vehicles used </w:t>
      </w:r>
      <w:r w:rsidR="003246F0">
        <w:t>–</w:t>
      </w:r>
      <w:r w:rsidR="003246F0" w:rsidRPr="00067A4D">
        <w:t xml:space="preserve"> weekdays</w:t>
      </w:r>
      <w:bookmarkEnd w:id="10"/>
    </w:p>
    <w:tbl>
      <w:tblPr>
        <w:tblStyle w:val="TableGrid"/>
        <w:tblW w:w="0" w:type="auto"/>
        <w:tblLook w:val="04A0" w:firstRow="1" w:lastRow="0" w:firstColumn="1" w:lastColumn="0" w:noHBand="0" w:noVBand="1"/>
      </w:tblPr>
      <w:tblGrid>
        <w:gridCol w:w="9079"/>
      </w:tblGrid>
      <w:tr w:rsidR="003246F0" w:rsidTr="003246F0">
        <w:tc>
          <w:tcPr>
            <w:tcW w:w="9016" w:type="dxa"/>
          </w:tcPr>
          <w:p w:rsidR="003246F0" w:rsidRDefault="003246F0" w:rsidP="00C01D94">
            <w:pPr>
              <w:pStyle w:val="FigureHeading"/>
              <w:jc w:val="center"/>
            </w:pPr>
            <w:r w:rsidRPr="00067A4D">
              <w:rPr>
                <w:noProof/>
                <w:lang w:eastAsia="en-AU"/>
              </w:rPr>
              <w:drawing>
                <wp:inline distT="0" distB="0" distL="0" distR="0" wp14:anchorId="6CACAE38" wp14:editId="37A4977A">
                  <wp:extent cx="4428000" cy="3376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srcRect/>
                          <a:stretch>
                            <a:fillRect/>
                          </a:stretch>
                        </pic:blipFill>
                        <pic:spPr bwMode="auto">
                          <a:xfrm>
                            <a:off x="0" y="0"/>
                            <a:ext cx="4428000" cy="3376800"/>
                          </a:xfrm>
                          <a:prstGeom prst="rect">
                            <a:avLst/>
                          </a:prstGeom>
                          <a:noFill/>
                          <a:ln w="9525">
                            <a:noFill/>
                            <a:miter lim="800000"/>
                            <a:headEnd/>
                            <a:tailEnd/>
                          </a:ln>
                        </pic:spPr>
                      </pic:pic>
                    </a:graphicData>
                  </a:graphic>
                </wp:inline>
              </w:drawing>
            </w:r>
          </w:p>
        </w:tc>
      </w:tr>
      <w:tr w:rsidR="003246F0" w:rsidTr="003246F0">
        <w:tc>
          <w:tcPr>
            <w:tcW w:w="9016" w:type="dxa"/>
          </w:tcPr>
          <w:p w:rsidR="003246F0" w:rsidRDefault="003246F0" w:rsidP="003246F0">
            <w:pPr>
              <w:pStyle w:val="FigureHeading"/>
            </w:pPr>
            <w:r w:rsidRPr="00067A4D">
              <w:rPr>
                <w:noProof/>
                <w:lang w:eastAsia="en-AU"/>
              </w:rPr>
              <w:drawing>
                <wp:inline distT="0" distB="0" distL="0" distR="0" wp14:anchorId="4053E3FC" wp14:editId="6D5E0B04">
                  <wp:extent cx="5608955" cy="353504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srcRect/>
                          <a:stretch>
                            <a:fillRect/>
                          </a:stretch>
                        </pic:blipFill>
                        <pic:spPr bwMode="auto">
                          <a:xfrm>
                            <a:off x="0" y="0"/>
                            <a:ext cx="5608955" cy="3535045"/>
                          </a:xfrm>
                          <a:prstGeom prst="rect">
                            <a:avLst/>
                          </a:prstGeom>
                          <a:noFill/>
                          <a:ln w="9525">
                            <a:noFill/>
                            <a:miter lim="800000"/>
                            <a:headEnd/>
                            <a:tailEnd/>
                          </a:ln>
                        </pic:spPr>
                      </pic:pic>
                    </a:graphicData>
                  </a:graphic>
                </wp:inline>
              </w:drawing>
            </w:r>
          </w:p>
        </w:tc>
      </w:tr>
    </w:tbl>
    <w:p w:rsidR="00C01D94" w:rsidRDefault="00C01D94" w:rsidP="00C01D94">
      <w:pPr>
        <w:rPr>
          <w:lang w:eastAsia="en-US"/>
        </w:rPr>
      </w:pPr>
    </w:p>
    <w:p w:rsidR="00C01D94" w:rsidRDefault="00C01D94" w:rsidP="00C01D94">
      <w:pPr>
        <w:rPr>
          <w:lang w:eastAsia="en-US"/>
        </w:rPr>
      </w:pPr>
      <w:r>
        <w:rPr>
          <w:lang w:eastAsia="en-US"/>
        </w:rPr>
        <w:t xml:space="preserve">Both these situations present different management problems. The non-use of booked vehicles precludes their use by others, with the potential for over-sizing of the fleet due to perceived difficulties in securing vehicles, indicated by the area above the 100% line on </w:t>
      </w:r>
      <w:r w:rsidRPr="00C01D94">
        <w:rPr>
          <w:b/>
          <w:lang w:eastAsia="en-US"/>
        </w:rPr>
        <w:t>Figure 10</w:t>
      </w:r>
      <w:r>
        <w:rPr>
          <w:lang w:eastAsia="en-US"/>
        </w:rPr>
        <w:t xml:space="preserve">. The use of vehicles without being booked has implications for fleet management and maintenance, and for staff safety as the practice can potentially bypass vehicle and equipment safety checking. Thirty per cent of Troopie bookings fall into this class. </w:t>
      </w:r>
    </w:p>
    <w:p w:rsidR="00C32DE2" w:rsidRDefault="00F23E66" w:rsidP="002D1A84">
      <w:pPr>
        <w:pStyle w:val="SectionHeadingLevel1"/>
        <w:keepNext/>
      </w:pPr>
      <w:r>
        <w:lastRenderedPageBreak/>
        <w:t>5</w:t>
      </w:r>
      <w:r w:rsidR="00C32DE2">
        <w:t>. Market segmentation and travel needs evaluation</w:t>
      </w:r>
    </w:p>
    <w:p w:rsidR="00F10AA4" w:rsidRDefault="00F23E66" w:rsidP="00F10AA4">
      <w:pPr>
        <w:pStyle w:val="SectionHeadingLevel2"/>
        <w:keepNext/>
      </w:pPr>
      <w:r>
        <w:t>5</w:t>
      </w:r>
      <w:r w:rsidR="00F10AA4">
        <w:t>.1. Market segmentation</w:t>
      </w:r>
    </w:p>
    <w:p w:rsidR="002D1A84" w:rsidRDefault="002D1A84" w:rsidP="00B816D4">
      <w:pPr>
        <w:keepNext/>
        <w:keepLines/>
        <w:rPr>
          <w:lang w:eastAsia="en-US"/>
        </w:rPr>
      </w:pPr>
      <w:r>
        <w:rPr>
          <w:lang w:eastAsia="en-US"/>
        </w:rPr>
        <w:t>The study objective was to identify an efficient fleet size and mix of vehicles that could perform CLC’s transport task</w:t>
      </w:r>
      <w:r w:rsidR="00C01D94">
        <w:rPr>
          <w:lang w:eastAsia="en-US"/>
        </w:rPr>
        <w:t xml:space="preserve">. </w:t>
      </w:r>
    </w:p>
    <w:p w:rsidR="00C640BB" w:rsidRDefault="00C640BB" w:rsidP="00B816D4">
      <w:pPr>
        <w:keepNext/>
        <w:keepLines/>
        <w:rPr>
          <w:lang w:eastAsia="en-US"/>
        </w:rPr>
      </w:pPr>
      <w:r>
        <w:rPr>
          <w:lang w:eastAsia="en-US"/>
        </w:rPr>
        <w:t>Extensive analysis was undertaken merging the vehicle tracking data with the booking calendar and staff surveys to evaluate the location of travel, its purpose and vehicle occupancy</w:t>
      </w:r>
      <w:r w:rsidR="00C01D94">
        <w:rPr>
          <w:lang w:eastAsia="en-US"/>
        </w:rPr>
        <w:t xml:space="preserve">. </w:t>
      </w:r>
      <w:r>
        <w:rPr>
          <w:lang w:eastAsia="en-US"/>
        </w:rPr>
        <w:t>A framework</w:t>
      </w:r>
      <w:r w:rsidR="00C01D94" w:rsidRPr="00C01D94">
        <w:rPr>
          <w:lang w:eastAsia="en-US"/>
        </w:rPr>
        <w:t xml:space="preserve"> w</w:t>
      </w:r>
      <w:r w:rsidR="00C01D94">
        <w:rPr>
          <w:lang w:eastAsia="en-US"/>
        </w:rPr>
        <w:t xml:space="preserve">as developed, shown on </w:t>
      </w:r>
      <w:r w:rsidR="00C01D94">
        <w:rPr>
          <w:b/>
          <w:lang w:eastAsia="en-US"/>
        </w:rPr>
        <w:t>Figure 11</w:t>
      </w:r>
      <w:r w:rsidR="00C01D94" w:rsidRPr="00C01D94">
        <w:rPr>
          <w:lang w:eastAsia="en-US"/>
        </w:rPr>
        <w:t>,</w:t>
      </w:r>
      <w:r w:rsidRPr="00C01D94">
        <w:rPr>
          <w:lang w:eastAsia="en-US"/>
        </w:rPr>
        <w:t xml:space="preserve"> </w:t>
      </w:r>
      <w:r>
        <w:rPr>
          <w:lang w:eastAsia="en-US"/>
        </w:rPr>
        <w:t xml:space="preserve">that combined group size, trip duration, the nature of the terrain (sealed, unsealed roads and on-country) </w:t>
      </w:r>
    </w:p>
    <w:p w:rsidR="00B816D4" w:rsidRDefault="00C01D94" w:rsidP="00F23E66">
      <w:pPr>
        <w:pStyle w:val="Captionstyle"/>
        <w:keepNext/>
        <w:ind w:left="360"/>
      </w:pPr>
      <w:r>
        <w:t>Figure </w:t>
      </w:r>
      <w:r w:rsidR="00F23E66">
        <w:t xml:space="preserve">11: </w:t>
      </w:r>
      <w:r w:rsidR="00B816D4">
        <w:t>CLC Market Segments – people and destinations</w:t>
      </w:r>
    </w:p>
    <w:p w:rsidR="00BB3AB6" w:rsidRDefault="00BB3AB6" w:rsidP="00BB3AB6">
      <w:pPr>
        <w:pStyle w:val="Captionstyle"/>
        <w:keepNext/>
        <w:jc w:val="both"/>
      </w:pPr>
      <w:r>
        <w:rPr>
          <w:noProof/>
        </w:rPr>
        <w:drawing>
          <wp:inline distT="0" distB="0" distL="0" distR="0">
            <wp:extent cx="5731200" cy="2790000"/>
            <wp:effectExtent l="0" t="0" r="3175" b="0"/>
            <wp:docPr id="3" name="Picture 3" descr="\\Mac\Home\Documents\@AkersConsult\Marketing\Conferences\2016 ATRF MEL\20140505 Market segmentation people and dest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ome\Documents\@AkersConsult\Marketing\Conferences\2016 ATRF MEL\20140505 Market segmentation people and destinatio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200" cy="2790000"/>
                    </a:xfrm>
                    <a:prstGeom prst="rect">
                      <a:avLst/>
                    </a:prstGeom>
                    <a:noFill/>
                    <a:ln>
                      <a:noFill/>
                    </a:ln>
                  </pic:spPr>
                </pic:pic>
              </a:graphicData>
            </a:graphic>
          </wp:inline>
        </w:drawing>
      </w:r>
    </w:p>
    <w:p w:rsidR="003246F0" w:rsidRDefault="002D1A84" w:rsidP="005A0BDB">
      <w:pPr>
        <w:rPr>
          <w:lang w:eastAsia="en-US"/>
        </w:rPr>
      </w:pPr>
      <w:r>
        <w:rPr>
          <w:lang w:eastAsia="en-US"/>
        </w:rPr>
        <w:t xml:space="preserve">In order to quantify the size of each market segment, primary segmentation of trip data was undertaken by the class of road, adopting a hierarchy of sealed, unsealed and off-road journeys, </w:t>
      </w:r>
      <w:r w:rsidR="00C01D94">
        <w:rPr>
          <w:lang w:eastAsia="en-US"/>
        </w:rPr>
        <w:t xml:space="preserve">shown on </w:t>
      </w:r>
      <w:r w:rsidR="00C01D94">
        <w:rPr>
          <w:b/>
          <w:lang w:eastAsia="en-US"/>
        </w:rPr>
        <w:t>Table</w:t>
      </w:r>
      <w:r w:rsidR="00C01D94" w:rsidRPr="00E81972">
        <w:rPr>
          <w:b/>
          <w:lang w:eastAsia="en-US"/>
        </w:rPr>
        <w:t> 3</w:t>
      </w:r>
      <w:r w:rsidR="00C01D94">
        <w:rPr>
          <w:lang w:eastAsia="en-US"/>
        </w:rPr>
        <w:t xml:space="preserve">. Each </w:t>
      </w:r>
      <w:r>
        <w:rPr>
          <w:lang w:eastAsia="en-US"/>
        </w:rPr>
        <w:t xml:space="preserve">journey </w:t>
      </w:r>
      <w:r w:rsidR="00C01D94">
        <w:rPr>
          <w:lang w:eastAsia="en-US"/>
        </w:rPr>
        <w:t>was</w:t>
      </w:r>
      <w:r>
        <w:rPr>
          <w:lang w:eastAsia="en-US"/>
        </w:rPr>
        <w:t xml:space="preserve"> classified according to the most arduous conditions encountered</w:t>
      </w:r>
      <w:r w:rsidR="00C01D94">
        <w:rPr>
          <w:lang w:eastAsia="en-US"/>
        </w:rPr>
        <w:t>, as a</w:t>
      </w:r>
      <w:r>
        <w:rPr>
          <w:lang w:eastAsia="en-US"/>
        </w:rPr>
        <w:t xml:space="preserve"> journey, once commenced, must be completed in the original vehicle</w:t>
      </w:r>
      <w:r w:rsidR="00F10AA4">
        <w:rPr>
          <w:lang w:eastAsia="en-US"/>
        </w:rPr>
        <w:t xml:space="preserve"> </w:t>
      </w:r>
      <w:r w:rsidR="00C01D94">
        <w:rPr>
          <w:lang w:eastAsia="en-US"/>
        </w:rPr>
        <w:t>which</w:t>
      </w:r>
      <w:r w:rsidR="00F10AA4">
        <w:rPr>
          <w:lang w:eastAsia="en-US"/>
        </w:rPr>
        <w:t xml:space="preserve"> must be fit for the worst terrain encountered on the entire journey</w:t>
      </w:r>
      <w:r w:rsidR="00C01D94">
        <w:rPr>
          <w:lang w:eastAsia="en-US"/>
        </w:rPr>
        <w:t xml:space="preserve">. </w:t>
      </w:r>
      <w:r w:rsidR="00F10AA4">
        <w:rPr>
          <w:lang w:eastAsia="en-US"/>
        </w:rPr>
        <w:t xml:space="preserve">As well, rather than focus on journey length, duration measured in full days was the more appropriate measure, as there is little scope for the one vehicle to be booked and used for </w:t>
      </w:r>
      <w:r w:rsidR="00C01D94">
        <w:rPr>
          <w:lang w:eastAsia="en-US"/>
        </w:rPr>
        <w:t xml:space="preserve">only part </w:t>
      </w:r>
      <w:r w:rsidR="00F10AA4">
        <w:rPr>
          <w:lang w:eastAsia="en-US"/>
        </w:rPr>
        <w:t xml:space="preserve">of a day, with the exception of town vehicles. </w:t>
      </w:r>
    </w:p>
    <w:p w:rsidR="00F10AA4" w:rsidRDefault="00F10AA4" w:rsidP="00A11CF4">
      <w:pPr>
        <w:pStyle w:val="Captionstyle"/>
        <w:keepNext/>
        <w:ind w:left="360"/>
      </w:pPr>
      <w:bookmarkStart w:id="11" w:name="_Ref391299477"/>
      <w:bookmarkStart w:id="12" w:name="_Toc405293625"/>
      <w:r w:rsidRPr="00067A4D">
        <w:t xml:space="preserve">Table </w:t>
      </w:r>
      <w:bookmarkEnd w:id="11"/>
      <w:r w:rsidR="00A11CF4">
        <w:t xml:space="preserve">3: </w:t>
      </w:r>
      <w:r w:rsidRPr="00067A4D">
        <w:t>Primary journey segmentation</w:t>
      </w:r>
      <w:bookmarkEnd w:id="12"/>
    </w:p>
    <w:tbl>
      <w:tblPr>
        <w:tblW w:w="9062"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258"/>
        <w:gridCol w:w="1360"/>
        <w:gridCol w:w="1361"/>
        <w:gridCol w:w="1361"/>
        <w:gridCol w:w="1361"/>
        <w:gridCol w:w="1361"/>
      </w:tblGrid>
      <w:tr w:rsidR="00A11CF4" w:rsidRPr="005C3F36" w:rsidTr="00694F16">
        <w:trPr>
          <w:trHeight w:val="370"/>
        </w:trPr>
        <w:tc>
          <w:tcPr>
            <w:tcW w:w="2258" w:type="dxa"/>
            <w:tcBorders>
              <w:bottom w:val="single" w:sz="8" w:space="0" w:color="000000"/>
            </w:tcBorders>
            <w:shd w:val="clear" w:color="auto" w:fill="000000"/>
            <w:vAlign w:val="center"/>
          </w:tcPr>
          <w:p w:rsidR="00A11CF4" w:rsidRPr="005C3F36" w:rsidRDefault="00A11CF4" w:rsidP="00F23E66">
            <w:pPr>
              <w:keepNext/>
              <w:jc w:val="left"/>
              <w:rPr>
                <w:b/>
                <w:bCs/>
                <w:color w:val="FFFFFF"/>
                <w:szCs w:val="22"/>
              </w:rPr>
            </w:pPr>
            <w:r>
              <w:rPr>
                <w:b/>
                <w:bCs/>
                <w:color w:val="FFFFFF"/>
                <w:szCs w:val="22"/>
              </w:rPr>
              <w:t>Vehicle type</w:t>
            </w:r>
          </w:p>
        </w:tc>
        <w:tc>
          <w:tcPr>
            <w:tcW w:w="6804" w:type="dxa"/>
            <w:gridSpan w:val="5"/>
            <w:tcBorders>
              <w:bottom w:val="single" w:sz="8" w:space="0" w:color="000000"/>
            </w:tcBorders>
            <w:shd w:val="clear" w:color="auto" w:fill="000000"/>
          </w:tcPr>
          <w:p w:rsidR="00A11CF4" w:rsidRDefault="00A11CF4" w:rsidP="00A11CF4">
            <w:pPr>
              <w:keepNext/>
              <w:jc w:val="center"/>
              <w:rPr>
                <w:b/>
                <w:bCs/>
                <w:color w:val="FFFFFF"/>
                <w:szCs w:val="22"/>
              </w:rPr>
            </w:pPr>
            <w:r>
              <w:rPr>
                <w:b/>
                <w:bCs/>
                <w:color w:val="FFFFFF"/>
                <w:szCs w:val="22"/>
              </w:rPr>
              <w:t>Travel by vehicle type (vehicle-days in 6 months)</w:t>
            </w:r>
          </w:p>
        </w:tc>
      </w:tr>
      <w:tr w:rsidR="00A11CF4" w:rsidRPr="005C3F36" w:rsidTr="00A11CF4">
        <w:trPr>
          <w:trHeight w:val="370"/>
        </w:trPr>
        <w:tc>
          <w:tcPr>
            <w:tcW w:w="2258" w:type="dxa"/>
            <w:tcBorders>
              <w:bottom w:val="single" w:sz="8" w:space="0" w:color="000000"/>
            </w:tcBorders>
            <w:shd w:val="clear" w:color="auto" w:fill="000000"/>
            <w:vAlign w:val="center"/>
          </w:tcPr>
          <w:p w:rsidR="00A11CF4" w:rsidRPr="005C3F36" w:rsidRDefault="00A11CF4" w:rsidP="00F23E66">
            <w:pPr>
              <w:keepNext/>
              <w:jc w:val="left"/>
              <w:rPr>
                <w:b/>
                <w:bCs/>
                <w:color w:val="FFFFFF"/>
                <w:szCs w:val="22"/>
              </w:rPr>
            </w:pPr>
          </w:p>
        </w:tc>
        <w:tc>
          <w:tcPr>
            <w:tcW w:w="1360" w:type="dxa"/>
            <w:tcBorders>
              <w:bottom w:val="single" w:sz="8" w:space="0" w:color="000000"/>
            </w:tcBorders>
            <w:shd w:val="clear" w:color="auto" w:fill="000000"/>
          </w:tcPr>
          <w:p w:rsidR="00A11CF4" w:rsidRPr="00F23E66" w:rsidRDefault="00A11CF4" w:rsidP="00A11CF4">
            <w:pPr>
              <w:keepNext/>
              <w:jc w:val="center"/>
              <w:rPr>
                <w:b/>
                <w:bCs/>
                <w:color w:val="FFFFFF"/>
                <w:szCs w:val="22"/>
              </w:rPr>
            </w:pPr>
            <w:r w:rsidRPr="00F23E66">
              <w:rPr>
                <w:b/>
                <w:bCs/>
                <w:color w:val="FFFFFF"/>
                <w:szCs w:val="22"/>
              </w:rPr>
              <w:t>Light vehicle</w:t>
            </w:r>
          </w:p>
        </w:tc>
        <w:tc>
          <w:tcPr>
            <w:tcW w:w="1361" w:type="dxa"/>
            <w:tcBorders>
              <w:bottom w:val="single" w:sz="8" w:space="0" w:color="000000"/>
            </w:tcBorders>
            <w:shd w:val="clear" w:color="auto" w:fill="000000"/>
          </w:tcPr>
          <w:p w:rsidR="00A11CF4" w:rsidRPr="00F23E66" w:rsidRDefault="00A11CF4" w:rsidP="00A11CF4">
            <w:pPr>
              <w:keepNext/>
              <w:jc w:val="center"/>
              <w:rPr>
                <w:b/>
                <w:bCs/>
                <w:color w:val="FFFFFF"/>
                <w:szCs w:val="22"/>
              </w:rPr>
            </w:pPr>
            <w:r w:rsidRPr="00F23E66">
              <w:rPr>
                <w:b/>
                <w:bCs/>
                <w:color w:val="FFFFFF"/>
                <w:szCs w:val="22"/>
              </w:rPr>
              <w:t>Trayback</w:t>
            </w:r>
          </w:p>
        </w:tc>
        <w:tc>
          <w:tcPr>
            <w:tcW w:w="1361" w:type="dxa"/>
            <w:tcBorders>
              <w:bottom w:val="single" w:sz="8" w:space="0" w:color="000000"/>
            </w:tcBorders>
            <w:shd w:val="clear" w:color="auto" w:fill="000000"/>
          </w:tcPr>
          <w:p w:rsidR="00A11CF4" w:rsidRPr="00F23E66" w:rsidRDefault="00A11CF4" w:rsidP="00A11CF4">
            <w:pPr>
              <w:keepNext/>
              <w:jc w:val="center"/>
              <w:rPr>
                <w:b/>
                <w:bCs/>
                <w:color w:val="FFFFFF"/>
                <w:szCs w:val="22"/>
              </w:rPr>
            </w:pPr>
            <w:r w:rsidRPr="00F23E66">
              <w:rPr>
                <w:b/>
                <w:bCs/>
                <w:color w:val="FFFFFF"/>
                <w:szCs w:val="22"/>
              </w:rPr>
              <w:t>Troopie</w:t>
            </w:r>
          </w:p>
        </w:tc>
        <w:tc>
          <w:tcPr>
            <w:tcW w:w="1361" w:type="dxa"/>
            <w:tcBorders>
              <w:bottom w:val="single" w:sz="8" w:space="0" w:color="000000"/>
            </w:tcBorders>
            <w:shd w:val="clear" w:color="auto" w:fill="000000"/>
          </w:tcPr>
          <w:p w:rsidR="00A11CF4" w:rsidRPr="00F23E66" w:rsidRDefault="00A11CF4" w:rsidP="00A11CF4">
            <w:pPr>
              <w:keepNext/>
              <w:jc w:val="center"/>
              <w:rPr>
                <w:b/>
                <w:bCs/>
                <w:color w:val="FFFFFF"/>
                <w:szCs w:val="22"/>
              </w:rPr>
            </w:pPr>
            <w:r w:rsidRPr="00F23E66">
              <w:rPr>
                <w:b/>
                <w:bCs/>
                <w:color w:val="FFFFFF"/>
                <w:szCs w:val="22"/>
              </w:rPr>
              <w:t>Total</w:t>
            </w:r>
          </w:p>
        </w:tc>
        <w:tc>
          <w:tcPr>
            <w:tcW w:w="1361" w:type="dxa"/>
            <w:tcBorders>
              <w:bottom w:val="single" w:sz="8" w:space="0" w:color="000000"/>
            </w:tcBorders>
            <w:shd w:val="clear" w:color="auto" w:fill="000000"/>
          </w:tcPr>
          <w:p w:rsidR="00A11CF4" w:rsidRPr="00F23E66" w:rsidRDefault="00A11CF4" w:rsidP="00A11CF4">
            <w:pPr>
              <w:keepNext/>
              <w:jc w:val="center"/>
              <w:rPr>
                <w:b/>
                <w:bCs/>
                <w:color w:val="FFFFFF"/>
                <w:szCs w:val="22"/>
              </w:rPr>
            </w:pPr>
            <w:r w:rsidRPr="00F23E66">
              <w:rPr>
                <w:b/>
                <w:bCs/>
                <w:color w:val="FFFFFF"/>
                <w:szCs w:val="22"/>
              </w:rPr>
              <w:t>% of total vehicle days</w:t>
            </w:r>
          </w:p>
        </w:tc>
      </w:tr>
      <w:tr w:rsidR="00A11CF4" w:rsidRPr="003246F0" w:rsidTr="00587D57">
        <w:trPr>
          <w:trHeight w:val="370"/>
        </w:trPr>
        <w:tc>
          <w:tcPr>
            <w:tcW w:w="2258" w:type="dxa"/>
            <w:tcBorders>
              <w:top w:val="single" w:sz="8" w:space="0" w:color="000000"/>
              <w:bottom w:val="single" w:sz="8" w:space="0" w:color="000000"/>
            </w:tcBorders>
            <w:vAlign w:val="center"/>
          </w:tcPr>
          <w:p w:rsidR="00A11CF4" w:rsidRPr="00A11CF4" w:rsidRDefault="00A11CF4" w:rsidP="00A11CF4">
            <w:pPr>
              <w:pStyle w:val="TableText"/>
              <w:spacing w:before="40" w:after="40"/>
              <w:rPr>
                <w:rFonts w:ascii="Arial" w:hAnsi="Arial" w:cs="Arial"/>
              </w:rPr>
            </w:pPr>
            <w:r w:rsidRPr="00A11CF4">
              <w:rPr>
                <w:rFonts w:ascii="Arial" w:hAnsi="Arial" w:cs="Arial"/>
              </w:rPr>
              <w:t>1 - Sealed</w:t>
            </w:r>
          </w:p>
        </w:tc>
        <w:tc>
          <w:tcPr>
            <w:tcW w:w="1360" w:type="dxa"/>
            <w:tcBorders>
              <w:top w:val="single" w:sz="8" w:space="0" w:color="000000"/>
              <w:bottom w:val="single" w:sz="8" w:space="0" w:color="000000"/>
            </w:tcBorders>
            <w:vAlign w:val="center"/>
          </w:tcPr>
          <w:p w:rsidR="00A11CF4" w:rsidRPr="00A11CF4" w:rsidRDefault="00A11CF4" w:rsidP="00A11CF4">
            <w:pPr>
              <w:pStyle w:val="TableText"/>
              <w:spacing w:before="40" w:after="40"/>
              <w:jc w:val="center"/>
              <w:rPr>
                <w:rFonts w:ascii="Arial" w:hAnsi="Arial" w:cs="Arial"/>
              </w:rPr>
            </w:pPr>
            <w:r w:rsidRPr="00A11CF4">
              <w:rPr>
                <w:rFonts w:ascii="Arial" w:hAnsi="Arial" w:cs="Arial"/>
              </w:rPr>
              <w:t>797</w:t>
            </w:r>
          </w:p>
        </w:tc>
        <w:tc>
          <w:tcPr>
            <w:tcW w:w="1361" w:type="dxa"/>
            <w:tcBorders>
              <w:top w:val="single" w:sz="8" w:space="0" w:color="000000"/>
              <w:bottom w:val="single" w:sz="8" w:space="0" w:color="000000"/>
            </w:tcBorders>
            <w:vAlign w:val="center"/>
          </w:tcPr>
          <w:p w:rsidR="00A11CF4" w:rsidRPr="00A11CF4" w:rsidRDefault="00A11CF4" w:rsidP="00A11CF4">
            <w:pPr>
              <w:pStyle w:val="TableText"/>
              <w:spacing w:before="40" w:after="40"/>
              <w:jc w:val="center"/>
              <w:rPr>
                <w:rFonts w:ascii="Arial" w:hAnsi="Arial" w:cs="Arial"/>
              </w:rPr>
            </w:pPr>
            <w:r w:rsidRPr="00A11CF4">
              <w:rPr>
                <w:rFonts w:ascii="Arial" w:hAnsi="Arial" w:cs="Arial"/>
              </w:rPr>
              <w:t>413</w:t>
            </w:r>
          </w:p>
        </w:tc>
        <w:tc>
          <w:tcPr>
            <w:tcW w:w="1361" w:type="dxa"/>
            <w:tcBorders>
              <w:top w:val="single" w:sz="8" w:space="0" w:color="000000"/>
              <w:bottom w:val="single" w:sz="8" w:space="0" w:color="000000"/>
            </w:tcBorders>
            <w:vAlign w:val="center"/>
          </w:tcPr>
          <w:p w:rsidR="00A11CF4" w:rsidRPr="00A11CF4" w:rsidRDefault="00A11CF4" w:rsidP="00A11CF4">
            <w:pPr>
              <w:pStyle w:val="TableText"/>
              <w:spacing w:before="40" w:after="40"/>
              <w:jc w:val="center"/>
              <w:rPr>
                <w:rFonts w:ascii="Arial" w:hAnsi="Arial" w:cs="Arial"/>
              </w:rPr>
            </w:pPr>
            <w:r w:rsidRPr="00A11CF4">
              <w:rPr>
                <w:rFonts w:ascii="Arial" w:hAnsi="Arial" w:cs="Arial"/>
              </w:rPr>
              <w:t>1,359</w:t>
            </w:r>
          </w:p>
        </w:tc>
        <w:tc>
          <w:tcPr>
            <w:tcW w:w="1361" w:type="dxa"/>
            <w:tcBorders>
              <w:top w:val="single" w:sz="8" w:space="0" w:color="000000"/>
              <w:bottom w:val="single" w:sz="8" w:space="0" w:color="000000"/>
            </w:tcBorders>
            <w:vAlign w:val="center"/>
          </w:tcPr>
          <w:p w:rsidR="00A11CF4" w:rsidRPr="00A11CF4" w:rsidRDefault="00A11CF4" w:rsidP="00A11CF4">
            <w:pPr>
              <w:pStyle w:val="TableText"/>
              <w:spacing w:before="40" w:after="40"/>
              <w:jc w:val="center"/>
              <w:rPr>
                <w:rFonts w:ascii="Arial" w:hAnsi="Arial" w:cs="Arial"/>
              </w:rPr>
            </w:pPr>
            <w:r w:rsidRPr="00A11CF4">
              <w:rPr>
                <w:rFonts w:ascii="Arial" w:hAnsi="Arial" w:cs="Arial"/>
              </w:rPr>
              <w:t>2,569</w:t>
            </w:r>
          </w:p>
        </w:tc>
        <w:tc>
          <w:tcPr>
            <w:tcW w:w="1361" w:type="dxa"/>
            <w:tcBorders>
              <w:top w:val="single" w:sz="8" w:space="0" w:color="000000"/>
              <w:bottom w:val="single" w:sz="8" w:space="0" w:color="000000"/>
            </w:tcBorders>
            <w:vAlign w:val="center"/>
          </w:tcPr>
          <w:p w:rsidR="00A11CF4" w:rsidRPr="00A11CF4" w:rsidRDefault="00A11CF4" w:rsidP="00BB3AB6">
            <w:pPr>
              <w:pStyle w:val="TableText"/>
              <w:spacing w:before="40" w:after="40"/>
              <w:jc w:val="center"/>
              <w:rPr>
                <w:rFonts w:ascii="Arial" w:hAnsi="Arial" w:cs="Arial"/>
              </w:rPr>
            </w:pPr>
            <w:r w:rsidRPr="00A11CF4">
              <w:rPr>
                <w:rFonts w:ascii="Arial" w:hAnsi="Arial" w:cs="Arial"/>
              </w:rPr>
              <w:t>3</w:t>
            </w:r>
            <w:r w:rsidR="00BB3AB6">
              <w:rPr>
                <w:rFonts w:ascii="Arial" w:hAnsi="Arial" w:cs="Arial"/>
              </w:rPr>
              <w:t>1</w:t>
            </w:r>
            <w:r w:rsidRPr="00A11CF4">
              <w:rPr>
                <w:rFonts w:ascii="Arial" w:hAnsi="Arial" w:cs="Arial"/>
              </w:rPr>
              <w:t>%</w:t>
            </w:r>
          </w:p>
        </w:tc>
      </w:tr>
      <w:tr w:rsidR="00A11CF4" w:rsidRPr="003246F0" w:rsidTr="00587D57">
        <w:trPr>
          <w:trHeight w:val="370"/>
        </w:trPr>
        <w:tc>
          <w:tcPr>
            <w:tcW w:w="2258" w:type="dxa"/>
            <w:tcBorders>
              <w:top w:val="single" w:sz="8" w:space="0" w:color="000000"/>
              <w:bottom w:val="single" w:sz="8" w:space="0" w:color="000000"/>
            </w:tcBorders>
            <w:vAlign w:val="center"/>
          </w:tcPr>
          <w:p w:rsidR="00A11CF4" w:rsidRPr="00A11CF4" w:rsidRDefault="00A11CF4" w:rsidP="00A11CF4">
            <w:pPr>
              <w:pStyle w:val="TableText"/>
              <w:spacing w:before="40" w:after="40"/>
              <w:rPr>
                <w:rFonts w:ascii="Arial" w:hAnsi="Arial" w:cs="Arial"/>
              </w:rPr>
            </w:pPr>
            <w:r w:rsidRPr="00A11CF4">
              <w:rPr>
                <w:rFonts w:ascii="Arial" w:hAnsi="Arial" w:cs="Arial"/>
              </w:rPr>
              <w:t>2 - Unsealed</w:t>
            </w:r>
          </w:p>
        </w:tc>
        <w:tc>
          <w:tcPr>
            <w:tcW w:w="1360" w:type="dxa"/>
            <w:tcBorders>
              <w:top w:val="single" w:sz="8" w:space="0" w:color="000000"/>
              <w:bottom w:val="single" w:sz="8" w:space="0" w:color="000000"/>
            </w:tcBorders>
            <w:vAlign w:val="center"/>
          </w:tcPr>
          <w:p w:rsidR="00A11CF4" w:rsidRPr="00A11CF4" w:rsidRDefault="00A11CF4" w:rsidP="00A11CF4">
            <w:pPr>
              <w:pStyle w:val="TableText"/>
              <w:spacing w:before="40" w:after="40"/>
              <w:jc w:val="center"/>
              <w:rPr>
                <w:rFonts w:ascii="Arial" w:hAnsi="Arial" w:cs="Arial"/>
              </w:rPr>
            </w:pPr>
            <w:r w:rsidRPr="00A11CF4">
              <w:rPr>
                <w:rFonts w:ascii="Arial" w:hAnsi="Arial" w:cs="Arial"/>
              </w:rPr>
              <w:t>19</w:t>
            </w:r>
          </w:p>
        </w:tc>
        <w:tc>
          <w:tcPr>
            <w:tcW w:w="1361" w:type="dxa"/>
            <w:tcBorders>
              <w:top w:val="single" w:sz="8" w:space="0" w:color="000000"/>
              <w:bottom w:val="single" w:sz="8" w:space="0" w:color="000000"/>
            </w:tcBorders>
            <w:vAlign w:val="center"/>
          </w:tcPr>
          <w:p w:rsidR="00A11CF4" w:rsidRPr="00A11CF4" w:rsidRDefault="00A11CF4" w:rsidP="00A11CF4">
            <w:pPr>
              <w:pStyle w:val="TableText"/>
              <w:spacing w:before="40" w:after="40"/>
              <w:jc w:val="center"/>
              <w:rPr>
                <w:rFonts w:ascii="Arial" w:hAnsi="Arial" w:cs="Arial"/>
              </w:rPr>
            </w:pPr>
            <w:r w:rsidRPr="00A11CF4">
              <w:rPr>
                <w:rFonts w:ascii="Arial" w:hAnsi="Arial" w:cs="Arial"/>
              </w:rPr>
              <w:t>447</w:t>
            </w:r>
          </w:p>
        </w:tc>
        <w:tc>
          <w:tcPr>
            <w:tcW w:w="1361" w:type="dxa"/>
            <w:tcBorders>
              <w:top w:val="single" w:sz="8" w:space="0" w:color="000000"/>
              <w:bottom w:val="single" w:sz="8" w:space="0" w:color="000000"/>
            </w:tcBorders>
            <w:vAlign w:val="center"/>
          </w:tcPr>
          <w:p w:rsidR="00A11CF4" w:rsidRPr="00A11CF4" w:rsidRDefault="00A11CF4" w:rsidP="00A11CF4">
            <w:pPr>
              <w:pStyle w:val="TableText"/>
              <w:spacing w:before="40" w:after="40"/>
              <w:jc w:val="center"/>
              <w:rPr>
                <w:rFonts w:ascii="Arial" w:hAnsi="Arial" w:cs="Arial"/>
              </w:rPr>
            </w:pPr>
            <w:r w:rsidRPr="00A11CF4">
              <w:rPr>
                <w:rFonts w:ascii="Arial" w:hAnsi="Arial" w:cs="Arial"/>
              </w:rPr>
              <w:t>1,929</w:t>
            </w:r>
          </w:p>
        </w:tc>
        <w:tc>
          <w:tcPr>
            <w:tcW w:w="1361" w:type="dxa"/>
            <w:tcBorders>
              <w:top w:val="single" w:sz="8" w:space="0" w:color="000000"/>
              <w:bottom w:val="single" w:sz="8" w:space="0" w:color="000000"/>
            </w:tcBorders>
            <w:vAlign w:val="center"/>
          </w:tcPr>
          <w:p w:rsidR="00A11CF4" w:rsidRPr="00A11CF4" w:rsidRDefault="00A11CF4" w:rsidP="00A11CF4">
            <w:pPr>
              <w:pStyle w:val="TableText"/>
              <w:spacing w:before="40" w:after="40"/>
              <w:jc w:val="center"/>
              <w:rPr>
                <w:rFonts w:ascii="Arial" w:hAnsi="Arial" w:cs="Arial"/>
              </w:rPr>
            </w:pPr>
            <w:r w:rsidRPr="00A11CF4">
              <w:rPr>
                <w:rFonts w:ascii="Arial" w:hAnsi="Arial" w:cs="Arial"/>
              </w:rPr>
              <w:t>2,395</w:t>
            </w:r>
          </w:p>
        </w:tc>
        <w:tc>
          <w:tcPr>
            <w:tcW w:w="1361" w:type="dxa"/>
            <w:tcBorders>
              <w:top w:val="single" w:sz="8" w:space="0" w:color="000000"/>
              <w:bottom w:val="single" w:sz="8" w:space="0" w:color="000000"/>
            </w:tcBorders>
            <w:vAlign w:val="center"/>
          </w:tcPr>
          <w:p w:rsidR="00A11CF4" w:rsidRPr="00A11CF4" w:rsidRDefault="00A11CF4" w:rsidP="00A11CF4">
            <w:pPr>
              <w:pStyle w:val="TableText"/>
              <w:spacing w:before="40" w:after="40"/>
              <w:jc w:val="center"/>
              <w:rPr>
                <w:rFonts w:ascii="Arial" w:hAnsi="Arial" w:cs="Arial"/>
              </w:rPr>
            </w:pPr>
            <w:r w:rsidRPr="00A11CF4">
              <w:rPr>
                <w:rFonts w:ascii="Arial" w:hAnsi="Arial" w:cs="Arial"/>
              </w:rPr>
              <w:t>29%</w:t>
            </w:r>
          </w:p>
        </w:tc>
      </w:tr>
      <w:tr w:rsidR="00A11CF4" w:rsidRPr="003246F0" w:rsidTr="00587D57">
        <w:trPr>
          <w:trHeight w:val="370"/>
        </w:trPr>
        <w:tc>
          <w:tcPr>
            <w:tcW w:w="2258" w:type="dxa"/>
            <w:tcBorders>
              <w:top w:val="single" w:sz="8" w:space="0" w:color="000000"/>
              <w:bottom w:val="single" w:sz="8" w:space="0" w:color="000000"/>
            </w:tcBorders>
            <w:vAlign w:val="center"/>
          </w:tcPr>
          <w:p w:rsidR="00A11CF4" w:rsidRPr="00A11CF4" w:rsidRDefault="00A11CF4" w:rsidP="00A11CF4">
            <w:pPr>
              <w:pStyle w:val="TableText"/>
              <w:spacing w:before="40" w:after="40"/>
              <w:rPr>
                <w:rFonts w:ascii="Arial" w:hAnsi="Arial" w:cs="Arial"/>
              </w:rPr>
            </w:pPr>
            <w:r w:rsidRPr="00A11CF4">
              <w:rPr>
                <w:rFonts w:ascii="Arial" w:hAnsi="Arial" w:cs="Arial"/>
              </w:rPr>
              <w:t>3 - Off Road</w:t>
            </w:r>
          </w:p>
        </w:tc>
        <w:tc>
          <w:tcPr>
            <w:tcW w:w="1360" w:type="dxa"/>
            <w:tcBorders>
              <w:top w:val="single" w:sz="8" w:space="0" w:color="000000"/>
              <w:bottom w:val="single" w:sz="8" w:space="0" w:color="000000"/>
            </w:tcBorders>
            <w:vAlign w:val="center"/>
          </w:tcPr>
          <w:p w:rsidR="00A11CF4" w:rsidRPr="00A11CF4" w:rsidRDefault="00A11CF4" w:rsidP="00A11CF4">
            <w:pPr>
              <w:pStyle w:val="TableText"/>
              <w:spacing w:before="40" w:after="40"/>
              <w:jc w:val="center"/>
              <w:rPr>
                <w:rFonts w:ascii="Arial" w:hAnsi="Arial" w:cs="Arial"/>
              </w:rPr>
            </w:pPr>
            <w:r w:rsidRPr="00A11CF4">
              <w:rPr>
                <w:rFonts w:ascii="Arial" w:hAnsi="Arial" w:cs="Arial"/>
              </w:rPr>
              <w:t>19</w:t>
            </w:r>
          </w:p>
        </w:tc>
        <w:tc>
          <w:tcPr>
            <w:tcW w:w="1361" w:type="dxa"/>
            <w:tcBorders>
              <w:top w:val="single" w:sz="8" w:space="0" w:color="000000"/>
              <w:bottom w:val="single" w:sz="8" w:space="0" w:color="000000"/>
            </w:tcBorders>
            <w:vAlign w:val="center"/>
          </w:tcPr>
          <w:p w:rsidR="00A11CF4" w:rsidRPr="00A11CF4" w:rsidRDefault="00A11CF4" w:rsidP="00A11CF4">
            <w:pPr>
              <w:pStyle w:val="TableText"/>
              <w:spacing w:before="40" w:after="40"/>
              <w:jc w:val="center"/>
              <w:rPr>
                <w:rFonts w:ascii="Arial" w:hAnsi="Arial" w:cs="Arial"/>
              </w:rPr>
            </w:pPr>
            <w:r w:rsidRPr="00A11CF4">
              <w:rPr>
                <w:rFonts w:ascii="Arial" w:hAnsi="Arial" w:cs="Arial"/>
              </w:rPr>
              <w:t>519</w:t>
            </w:r>
          </w:p>
        </w:tc>
        <w:tc>
          <w:tcPr>
            <w:tcW w:w="1361" w:type="dxa"/>
            <w:tcBorders>
              <w:top w:val="single" w:sz="8" w:space="0" w:color="000000"/>
              <w:bottom w:val="single" w:sz="8" w:space="0" w:color="000000"/>
            </w:tcBorders>
            <w:vAlign w:val="center"/>
          </w:tcPr>
          <w:p w:rsidR="00A11CF4" w:rsidRPr="00A11CF4" w:rsidRDefault="00A11CF4" w:rsidP="00A11CF4">
            <w:pPr>
              <w:pStyle w:val="TableText"/>
              <w:spacing w:before="40" w:after="40"/>
              <w:jc w:val="center"/>
              <w:rPr>
                <w:rFonts w:ascii="Arial" w:hAnsi="Arial" w:cs="Arial"/>
              </w:rPr>
            </w:pPr>
            <w:r w:rsidRPr="00A11CF4">
              <w:rPr>
                <w:rFonts w:ascii="Arial" w:hAnsi="Arial" w:cs="Arial"/>
              </w:rPr>
              <w:t>2,769</w:t>
            </w:r>
          </w:p>
        </w:tc>
        <w:tc>
          <w:tcPr>
            <w:tcW w:w="1361" w:type="dxa"/>
            <w:tcBorders>
              <w:top w:val="single" w:sz="8" w:space="0" w:color="000000"/>
              <w:bottom w:val="single" w:sz="8" w:space="0" w:color="000000"/>
            </w:tcBorders>
            <w:vAlign w:val="center"/>
          </w:tcPr>
          <w:p w:rsidR="00A11CF4" w:rsidRPr="00A11CF4" w:rsidRDefault="00A11CF4" w:rsidP="00A11CF4">
            <w:pPr>
              <w:pStyle w:val="TableText"/>
              <w:spacing w:before="40" w:after="40"/>
              <w:jc w:val="center"/>
              <w:rPr>
                <w:rFonts w:ascii="Arial" w:hAnsi="Arial" w:cs="Arial"/>
              </w:rPr>
            </w:pPr>
            <w:r w:rsidRPr="00A11CF4">
              <w:rPr>
                <w:rFonts w:ascii="Arial" w:hAnsi="Arial" w:cs="Arial"/>
              </w:rPr>
              <w:t>3,307</w:t>
            </w:r>
          </w:p>
        </w:tc>
        <w:tc>
          <w:tcPr>
            <w:tcW w:w="1361" w:type="dxa"/>
            <w:tcBorders>
              <w:top w:val="single" w:sz="8" w:space="0" w:color="000000"/>
              <w:bottom w:val="single" w:sz="8" w:space="0" w:color="000000"/>
            </w:tcBorders>
            <w:vAlign w:val="center"/>
          </w:tcPr>
          <w:p w:rsidR="00A11CF4" w:rsidRPr="00A11CF4" w:rsidRDefault="00A11CF4" w:rsidP="00A11CF4">
            <w:pPr>
              <w:pStyle w:val="TableText"/>
              <w:spacing w:before="40" w:after="40"/>
              <w:jc w:val="center"/>
              <w:rPr>
                <w:rFonts w:ascii="Arial" w:hAnsi="Arial" w:cs="Arial"/>
              </w:rPr>
            </w:pPr>
            <w:r w:rsidRPr="00A11CF4">
              <w:rPr>
                <w:rFonts w:ascii="Arial" w:hAnsi="Arial" w:cs="Arial"/>
              </w:rPr>
              <w:t>40%</w:t>
            </w:r>
          </w:p>
        </w:tc>
      </w:tr>
      <w:tr w:rsidR="00A11CF4" w:rsidRPr="003246F0" w:rsidTr="00587D57">
        <w:trPr>
          <w:trHeight w:val="370"/>
        </w:trPr>
        <w:tc>
          <w:tcPr>
            <w:tcW w:w="2258" w:type="dxa"/>
            <w:tcBorders>
              <w:top w:val="single" w:sz="8" w:space="0" w:color="000000"/>
              <w:bottom w:val="single" w:sz="8" w:space="0" w:color="000000"/>
            </w:tcBorders>
            <w:vAlign w:val="center"/>
          </w:tcPr>
          <w:p w:rsidR="00A11CF4" w:rsidRPr="00A11CF4" w:rsidRDefault="00A11CF4" w:rsidP="00A11CF4">
            <w:pPr>
              <w:pStyle w:val="TableText"/>
              <w:spacing w:before="40" w:after="40"/>
              <w:rPr>
                <w:rFonts w:ascii="Arial" w:hAnsi="Arial" w:cs="Arial"/>
                <w:b/>
              </w:rPr>
            </w:pPr>
            <w:r w:rsidRPr="00A11CF4">
              <w:rPr>
                <w:rFonts w:ascii="Arial" w:hAnsi="Arial" w:cs="Arial"/>
                <w:b/>
              </w:rPr>
              <w:t>Total</w:t>
            </w:r>
          </w:p>
        </w:tc>
        <w:tc>
          <w:tcPr>
            <w:tcW w:w="1360" w:type="dxa"/>
            <w:tcBorders>
              <w:top w:val="single" w:sz="8" w:space="0" w:color="000000"/>
              <w:bottom w:val="single" w:sz="8" w:space="0" w:color="000000"/>
            </w:tcBorders>
            <w:vAlign w:val="center"/>
          </w:tcPr>
          <w:p w:rsidR="00A11CF4" w:rsidRPr="00A11CF4" w:rsidRDefault="00A11CF4" w:rsidP="00A11CF4">
            <w:pPr>
              <w:pStyle w:val="TableText"/>
              <w:spacing w:before="40" w:after="40"/>
              <w:jc w:val="center"/>
              <w:rPr>
                <w:rFonts w:ascii="Arial" w:hAnsi="Arial" w:cs="Arial"/>
                <w:b/>
              </w:rPr>
            </w:pPr>
            <w:r w:rsidRPr="00A11CF4">
              <w:rPr>
                <w:rFonts w:ascii="Arial" w:hAnsi="Arial" w:cs="Arial"/>
                <w:b/>
              </w:rPr>
              <w:t>835</w:t>
            </w:r>
          </w:p>
        </w:tc>
        <w:tc>
          <w:tcPr>
            <w:tcW w:w="1361" w:type="dxa"/>
            <w:tcBorders>
              <w:top w:val="single" w:sz="8" w:space="0" w:color="000000"/>
              <w:bottom w:val="single" w:sz="8" w:space="0" w:color="000000"/>
            </w:tcBorders>
            <w:vAlign w:val="center"/>
          </w:tcPr>
          <w:p w:rsidR="00A11CF4" w:rsidRPr="00A11CF4" w:rsidRDefault="00A11CF4" w:rsidP="00A11CF4">
            <w:pPr>
              <w:pStyle w:val="TableText"/>
              <w:spacing w:before="40" w:after="40"/>
              <w:jc w:val="center"/>
              <w:rPr>
                <w:rFonts w:ascii="Arial" w:hAnsi="Arial" w:cs="Arial"/>
                <w:b/>
              </w:rPr>
            </w:pPr>
            <w:r w:rsidRPr="00A11CF4">
              <w:rPr>
                <w:rFonts w:ascii="Arial" w:hAnsi="Arial" w:cs="Arial"/>
                <w:b/>
              </w:rPr>
              <w:t>1,379</w:t>
            </w:r>
          </w:p>
        </w:tc>
        <w:tc>
          <w:tcPr>
            <w:tcW w:w="1361" w:type="dxa"/>
            <w:tcBorders>
              <w:top w:val="single" w:sz="8" w:space="0" w:color="000000"/>
              <w:bottom w:val="single" w:sz="8" w:space="0" w:color="000000"/>
            </w:tcBorders>
            <w:vAlign w:val="center"/>
          </w:tcPr>
          <w:p w:rsidR="00A11CF4" w:rsidRPr="00A11CF4" w:rsidRDefault="00A11CF4" w:rsidP="00A11CF4">
            <w:pPr>
              <w:pStyle w:val="TableText"/>
              <w:spacing w:before="40" w:after="40"/>
              <w:jc w:val="center"/>
              <w:rPr>
                <w:rFonts w:ascii="Arial" w:hAnsi="Arial" w:cs="Arial"/>
                <w:b/>
              </w:rPr>
            </w:pPr>
            <w:r w:rsidRPr="00A11CF4">
              <w:rPr>
                <w:rFonts w:ascii="Arial" w:hAnsi="Arial" w:cs="Arial"/>
                <w:b/>
              </w:rPr>
              <w:t>6,057</w:t>
            </w:r>
          </w:p>
        </w:tc>
        <w:tc>
          <w:tcPr>
            <w:tcW w:w="1361" w:type="dxa"/>
            <w:tcBorders>
              <w:top w:val="single" w:sz="8" w:space="0" w:color="000000"/>
              <w:bottom w:val="single" w:sz="8" w:space="0" w:color="000000"/>
            </w:tcBorders>
            <w:vAlign w:val="center"/>
          </w:tcPr>
          <w:p w:rsidR="00A11CF4" w:rsidRPr="00A11CF4" w:rsidRDefault="00A11CF4" w:rsidP="00A11CF4">
            <w:pPr>
              <w:pStyle w:val="TableText"/>
              <w:spacing w:before="40" w:after="40"/>
              <w:jc w:val="center"/>
              <w:rPr>
                <w:rFonts w:ascii="Arial" w:hAnsi="Arial" w:cs="Arial"/>
                <w:b/>
              </w:rPr>
            </w:pPr>
            <w:r w:rsidRPr="00A11CF4">
              <w:rPr>
                <w:rFonts w:ascii="Arial" w:hAnsi="Arial" w:cs="Arial"/>
                <w:b/>
              </w:rPr>
              <w:t>8,271</w:t>
            </w:r>
          </w:p>
        </w:tc>
        <w:tc>
          <w:tcPr>
            <w:tcW w:w="1361" w:type="dxa"/>
            <w:tcBorders>
              <w:top w:val="single" w:sz="8" w:space="0" w:color="000000"/>
              <w:bottom w:val="single" w:sz="8" w:space="0" w:color="000000"/>
            </w:tcBorders>
            <w:vAlign w:val="center"/>
          </w:tcPr>
          <w:p w:rsidR="00A11CF4" w:rsidRPr="00BB3AB6" w:rsidRDefault="00A11CF4" w:rsidP="00A11CF4">
            <w:pPr>
              <w:pStyle w:val="TableText"/>
              <w:spacing w:before="40" w:after="40"/>
              <w:jc w:val="center"/>
              <w:rPr>
                <w:rFonts w:ascii="Arial" w:hAnsi="Arial" w:cs="Arial"/>
                <w:b/>
              </w:rPr>
            </w:pPr>
            <w:r w:rsidRPr="00BB3AB6">
              <w:rPr>
                <w:rFonts w:ascii="Arial" w:hAnsi="Arial" w:cs="Arial"/>
                <w:b/>
              </w:rPr>
              <w:t>100%</w:t>
            </w:r>
          </w:p>
        </w:tc>
      </w:tr>
    </w:tbl>
    <w:p w:rsidR="00F10AA4" w:rsidRPr="00067A4D" w:rsidRDefault="00F10AA4" w:rsidP="00F10AA4"/>
    <w:p w:rsidR="00F10AA4" w:rsidRDefault="00F10AA4" w:rsidP="005A0BDB">
      <w:pPr>
        <w:rPr>
          <w:lang w:eastAsia="en-US"/>
        </w:rPr>
      </w:pPr>
      <w:r>
        <w:rPr>
          <w:lang w:eastAsia="en-US"/>
        </w:rPr>
        <w:lastRenderedPageBreak/>
        <w:t>T</w:t>
      </w:r>
      <w:r w:rsidR="000E6908">
        <w:rPr>
          <w:lang w:eastAsia="en-US"/>
        </w:rPr>
        <w:t>h</w:t>
      </w:r>
      <w:r>
        <w:rPr>
          <w:lang w:eastAsia="en-US"/>
        </w:rPr>
        <w:t>is primary segmentation found that for travel on unsealed roads and off-road, the appropriate vehicles were already in use</w:t>
      </w:r>
      <w:r w:rsidR="00C01D94">
        <w:rPr>
          <w:lang w:eastAsia="en-US"/>
        </w:rPr>
        <w:t xml:space="preserve">. </w:t>
      </w:r>
      <w:r>
        <w:rPr>
          <w:lang w:eastAsia="en-US"/>
        </w:rPr>
        <w:t>For travel entirely on sealed roads, over two thirds of trips were made with heavy 4WD vehicles when a lighter vehicle would normally suffice</w:t>
      </w:r>
      <w:r w:rsidR="00C01D94">
        <w:rPr>
          <w:lang w:eastAsia="en-US"/>
        </w:rPr>
        <w:t xml:space="preserve">. </w:t>
      </w:r>
    </w:p>
    <w:p w:rsidR="00F10AA4" w:rsidRDefault="00F10AA4" w:rsidP="005A0BDB">
      <w:pPr>
        <w:rPr>
          <w:lang w:eastAsia="en-US"/>
        </w:rPr>
      </w:pPr>
      <w:r>
        <w:rPr>
          <w:lang w:eastAsia="en-US"/>
        </w:rPr>
        <w:t>Further detailed sub segments were developed covering occupancy and the need to carry equipment and the normal garaging location of the vehicle was also considered</w:t>
      </w:r>
      <w:r w:rsidR="00C01D94">
        <w:rPr>
          <w:lang w:eastAsia="en-US"/>
        </w:rPr>
        <w:t xml:space="preserve">. </w:t>
      </w:r>
    </w:p>
    <w:p w:rsidR="000E6908" w:rsidRDefault="000E6908" w:rsidP="005A0BDB">
      <w:pPr>
        <w:rPr>
          <w:lang w:eastAsia="en-US"/>
        </w:rPr>
      </w:pPr>
      <w:r>
        <w:rPr>
          <w:lang w:eastAsia="en-US"/>
        </w:rPr>
        <w:t xml:space="preserve">For travel based in Alice Springs, a large proportion of trips were demonstrated to be undertaken in troopies </w:t>
      </w:r>
      <w:r w:rsidR="00A11CF4">
        <w:rPr>
          <w:lang w:eastAsia="en-US"/>
        </w:rPr>
        <w:t xml:space="preserve">simply </w:t>
      </w:r>
      <w:r>
        <w:rPr>
          <w:lang w:eastAsia="en-US"/>
        </w:rPr>
        <w:t>because they were available</w:t>
      </w:r>
      <w:r w:rsidR="00C01D94">
        <w:rPr>
          <w:lang w:eastAsia="en-US"/>
        </w:rPr>
        <w:t xml:space="preserve">. </w:t>
      </w:r>
      <w:r>
        <w:rPr>
          <w:lang w:eastAsia="en-US"/>
        </w:rPr>
        <w:t>These trips were predominantly on sealed or high quality unsealed road and could have used much lighter, cheaper and more fuel efficient vehicles</w:t>
      </w:r>
      <w:r w:rsidR="00C01D94">
        <w:rPr>
          <w:lang w:eastAsia="en-US"/>
        </w:rPr>
        <w:t xml:space="preserve">. </w:t>
      </w:r>
    </w:p>
    <w:p w:rsidR="000E6908" w:rsidRDefault="000E6908" w:rsidP="005A0BDB">
      <w:pPr>
        <w:rPr>
          <w:lang w:eastAsia="en-US"/>
        </w:rPr>
      </w:pPr>
      <w:r>
        <w:rPr>
          <w:lang w:eastAsia="en-US"/>
        </w:rPr>
        <w:t>A different set of needs emerged for regionally based travel, much of which was undertaken with at most a driver and one passenger</w:t>
      </w:r>
      <w:r w:rsidR="00C01D94">
        <w:rPr>
          <w:lang w:eastAsia="en-US"/>
        </w:rPr>
        <w:t xml:space="preserve">. </w:t>
      </w:r>
      <w:r w:rsidR="00A11CF4">
        <w:rPr>
          <w:lang w:eastAsia="en-US"/>
        </w:rPr>
        <w:t>M</w:t>
      </w:r>
      <w:r>
        <w:rPr>
          <w:lang w:eastAsia="en-US"/>
        </w:rPr>
        <w:t>ost of these trips were undertaken in troopies, when a ro</w:t>
      </w:r>
      <w:r w:rsidR="00A11CF4">
        <w:rPr>
          <w:lang w:eastAsia="en-US"/>
        </w:rPr>
        <w:t>bust off-road dual cab vehicle w</w:t>
      </w:r>
      <w:r>
        <w:rPr>
          <w:lang w:eastAsia="en-US"/>
        </w:rPr>
        <w:t>ould have sufficed</w:t>
      </w:r>
      <w:r w:rsidR="00C01D94">
        <w:rPr>
          <w:lang w:eastAsia="en-US"/>
        </w:rPr>
        <w:t xml:space="preserve">. </w:t>
      </w:r>
    </w:p>
    <w:p w:rsidR="000E6908" w:rsidRDefault="00A11CF4" w:rsidP="000E6908">
      <w:pPr>
        <w:pStyle w:val="SectionHeadingLevel2"/>
        <w:keepNext/>
      </w:pPr>
      <w:r>
        <w:t>5.2</w:t>
      </w:r>
      <w:r w:rsidR="000E6908">
        <w:t>. Fleet composition</w:t>
      </w:r>
    </w:p>
    <w:p w:rsidR="000E6908" w:rsidRDefault="00F10AA4" w:rsidP="000E6908">
      <w:pPr>
        <w:rPr>
          <w:lang w:eastAsia="en-US"/>
        </w:rPr>
      </w:pPr>
      <w:r>
        <w:rPr>
          <w:lang w:eastAsia="en-US"/>
        </w:rPr>
        <w:t xml:space="preserve">The </w:t>
      </w:r>
      <w:r w:rsidR="00A11CF4">
        <w:rPr>
          <w:lang w:eastAsia="en-US"/>
        </w:rPr>
        <w:t>proposed</w:t>
      </w:r>
      <w:r>
        <w:rPr>
          <w:lang w:eastAsia="en-US"/>
        </w:rPr>
        <w:t xml:space="preserve"> fleet composition </w:t>
      </w:r>
      <w:r w:rsidR="00A11CF4">
        <w:rPr>
          <w:lang w:eastAsia="en-US"/>
        </w:rPr>
        <w:t>was</w:t>
      </w:r>
      <w:r w:rsidR="000E6908">
        <w:rPr>
          <w:lang w:eastAsia="en-US"/>
        </w:rPr>
        <w:t xml:space="preserve"> derived for Alice Springs and regionally based vehicles independently</w:t>
      </w:r>
      <w:r w:rsidR="00C01D94">
        <w:rPr>
          <w:lang w:eastAsia="en-US"/>
        </w:rPr>
        <w:t xml:space="preserve">. </w:t>
      </w:r>
      <w:r w:rsidR="000E6908">
        <w:rPr>
          <w:lang w:eastAsia="en-US"/>
        </w:rPr>
        <w:t>The number of vehicle-days required for each proposed vehicle type is built up segment by segment using a simple process:</w:t>
      </w:r>
    </w:p>
    <w:p w:rsidR="000E6908" w:rsidRDefault="000E6908" w:rsidP="000E6908">
      <w:pPr>
        <w:numPr>
          <w:ilvl w:val="0"/>
          <w:numId w:val="16"/>
        </w:numPr>
      </w:pPr>
      <w:r>
        <w:t>For each segment, document existing vehicle days</w:t>
      </w:r>
    </w:p>
    <w:p w:rsidR="000E6908" w:rsidRDefault="000E6908" w:rsidP="000E6908">
      <w:pPr>
        <w:numPr>
          <w:ilvl w:val="0"/>
          <w:numId w:val="16"/>
        </w:numPr>
      </w:pPr>
      <w:r>
        <w:t>Reallocate each segment to the recommended alternative vehicle type</w:t>
      </w:r>
    </w:p>
    <w:p w:rsidR="000E6908" w:rsidRDefault="000E6908" w:rsidP="000E6908">
      <w:pPr>
        <w:numPr>
          <w:ilvl w:val="0"/>
          <w:numId w:val="16"/>
        </w:numPr>
      </w:pPr>
      <w:r>
        <w:t>Sum the total vehicle days for each vehicle type over all travel segments</w:t>
      </w:r>
    </w:p>
    <w:p w:rsidR="000E6908" w:rsidRDefault="000E6908" w:rsidP="000E6908">
      <w:pPr>
        <w:numPr>
          <w:ilvl w:val="0"/>
          <w:numId w:val="16"/>
        </w:numPr>
      </w:pPr>
      <w:r>
        <w:t>Divide by the number of days in the analysis (130 working days)</w:t>
      </w:r>
    </w:p>
    <w:p w:rsidR="000E6908" w:rsidRDefault="000E6908" w:rsidP="000E6908">
      <w:pPr>
        <w:numPr>
          <w:ilvl w:val="0"/>
          <w:numId w:val="16"/>
        </w:numPr>
      </w:pPr>
      <w:r>
        <w:t>Add 10 per cent for vehicle servicing</w:t>
      </w:r>
    </w:p>
    <w:p w:rsidR="000E6908" w:rsidRDefault="000E6908" w:rsidP="000E6908">
      <w:pPr>
        <w:numPr>
          <w:ilvl w:val="0"/>
          <w:numId w:val="16"/>
        </w:numPr>
      </w:pPr>
      <w:r>
        <w:t>Add 20 per cent factor of safety</w:t>
      </w:r>
    </w:p>
    <w:p w:rsidR="003246F0" w:rsidRDefault="000E6908" w:rsidP="000E6908">
      <w:pPr>
        <w:numPr>
          <w:ilvl w:val="0"/>
          <w:numId w:val="16"/>
        </w:numPr>
      </w:pPr>
      <w:r>
        <w:t>Round the resulting value to the next whole number.</w:t>
      </w:r>
    </w:p>
    <w:p w:rsidR="000E6908" w:rsidRDefault="000E6908" w:rsidP="000E6908">
      <w:r>
        <w:t xml:space="preserve">Once a </w:t>
      </w:r>
      <w:r w:rsidR="00AA472E">
        <w:t>theoretical</w:t>
      </w:r>
      <w:r>
        <w:t xml:space="preserve"> fleet mix was obtained, two final checks were und</w:t>
      </w:r>
      <w:r w:rsidR="00AA472E">
        <w:t>ertaken against historical data</w:t>
      </w:r>
      <w:r w:rsidR="00D602A2">
        <w:t xml:space="preserve"> to test the ability of the reduced fleet to cater for peak demand</w:t>
      </w:r>
      <w:r w:rsidR="00AA472E">
        <w:t>:</w:t>
      </w:r>
    </w:p>
    <w:p w:rsidR="000E6908" w:rsidRDefault="00AA472E" w:rsidP="000E6908">
      <w:pPr>
        <w:numPr>
          <w:ilvl w:val="0"/>
          <w:numId w:val="16"/>
        </w:numPr>
      </w:pPr>
      <w:r>
        <w:t xml:space="preserve">Were there any </w:t>
      </w:r>
      <w:r w:rsidR="009B7266">
        <w:t xml:space="preserve">single or concurrent </w:t>
      </w:r>
      <w:r>
        <w:t xml:space="preserve">events </w:t>
      </w:r>
      <w:r w:rsidR="009B7266">
        <w:t>that</w:t>
      </w:r>
      <w:r>
        <w:t xml:space="preserve"> required a large fleet of </w:t>
      </w:r>
      <w:r w:rsidR="009B7266">
        <w:t>large</w:t>
      </w:r>
      <w:r>
        <w:t xml:space="preserve"> off-road vehicles and could they have been </w:t>
      </w:r>
      <w:r w:rsidR="009B7266">
        <w:t>rescheduled to reduce vehicle demand, and</w:t>
      </w:r>
    </w:p>
    <w:p w:rsidR="009B7266" w:rsidRDefault="009B7266" w:rsidP="001B5370">
      <w:pPr>
        <w:numPr>
          <w:ilvl w:val="0"/>
          <w:numId w:val="16"/>
        </w:numPr>
      </w:pPr>
      <w:r>
        <w:t xml:space="preserve">Would smaller fuel tanks limit long trips? </w:t>
      </w:r>
    </w:p>
    <w:p w:rsidR="00AA472E" w:rsidRDefault="00D602A2" w:rsidP="009B7266">
      <w:r>
        <w:t>No instances were found where single large or concurrent smaller events would stress the ability of the smaller fleet.  Additionally, the more rigorous use of the booking calendar can ensure that clashes are avoided. Smaller fuel tanks were accompanied by a significantly lower fuel consumption and a longer range of travel that the current large vehicles. Therefore, n</w:t>
      </w:r>
      <w:r w:rsidR="00AA472E">
        <w:t xml:space="preserve">either of these conditions was found to constrain the </w:t>
      </w:r>
      <w:r w:rsidR="00A11CF4">
        <w:t xml:space="preserve">recommended </w:t>
      </w:r>
      <w:r w:rsidR="00AA472E">
        <w:t>change in fleet composition</w:t>
      </w:r>
      <w:r w:rsidR="00C01D94">
        <w:t xml:space="preserve">. </w:t>
      </w:r>
    </w:p>
    <w:p w:rsidR="00B14B00" w:rsidRDefault="00A11CF4" w:rsidP="00AA472E">
      <w:pPr>
        <w:pStyle w:val="SectionHeadingLevel1"/>
        <w:keepNext/>
      </w:pPr>
      <w:r>
        <w:t>6</w:t>
      </w:r>
      <w:r w:rsidR="00AA472E">
        <w:t>. Strategy implementation</w:t>
      </w:r>
    </w:p>
    <w:p w:rsidR="00F62D3C" w:rsidRDefault="00F62D3C" w:rsidP="00F62D3C">
      <w:pPr>
        <w:rPr>
          <w:lang w:eastAsia="en-US"/>
        </w:rPr>
      </w:pPr>
      <w:r>
        <w:rPr>
          <w:lang w:eastAsia="en-US"/>
        </w:rPr>
        <w:t xml:space="preserve">The final </w:t>
      </w:r>
      <w:r w:rsidR="00A11CF4">
        <w:rPr>
          <w:lang w:eastAsia="en-US"/>
        </w:rPr>
        <w:t xml:space="preserve">study report </w:t>
      </w:r>
      <w:r>
        <w:rPr>
          <w:lang w:eastAsia="en-US"/>
        </w:rPr>
        <w:t xml:space="preserve">(2014) identified a significant opportunity to change the fleet mix which would potentially result in financial savings and improvement in employee/passenger safety. This would mainly result from fleet pooling, use of lower capital cost and lower fuel usage from using a number of medium sized </w:t>
      </w:r>
      <w:r w:rsidR="00B86A4E">
        <w:rPr>
          <w:lang w:eastAsia="en-US"/>
        </w:rPr>
        <w:t>4WD</w:t>
      </w:r>
      <w:r>
        <w:rPr>
          <w:lang w:eastAsia="en-US"/>
        </w:rPr>
        <w:t xml:space="preserve"> vehicles and the disposal of some large 4WD (Toyota Troopies). However, this required a substantial change in work practices that had developed over decades and an all staff commitment (most staff are drivers to a greater and lesser degree, or engaged in fleet booking and management). The aim was to have a progressive strategy implementation, subject to an annual review as a safeguard.</w:t>
      </w:r>
    </w:p>
    <w:p w:rsidR="00A11CF4" w:rsidRDefault="00F62D3C" w:rsidP="00B86A4E">
      <w:pPr>
        <w:keepNext/>
        <w:rPr>
          <w:lang w:eastAsia="en-US"/>
        </w:rPr>
      </w:pPr>
      <w:r>
        <w:rPr>
          <w:lang w:eastAsia="en-US"/>
        </w:rPr>
        <w:lastRenderedPageBreak/>
        <w:t>Productivity improvements are expected to be achieved from</w:t>
      </w:r>
      <w:r w:rsidR="00A11CF4">
        <w:rPr>
          <w:lang w:eastAsia="en-US"/>
        </w:rPr>
        <w:t>:</w:t>
      </w:r>
    </w:p>
    <w:p w:rsidR="00A11CF4" w:rsidRDefault="00F62D3C" w:rsidP="00B86A4E">
      <w:pPr>
        <w:keepNext/>
        <w:numPr>
          <w:ilvl w:val="0"/>
          <w:numId w:val="16"/>
        </w:numPr>
      </w:pPr>
      <w:r>
        <w:t>pool fleet management</w:t>
      </w:r>
      <w:r w:rsidR="00D602A2">
        <w:t xml:space="preserve"> which would replace the current sectional allocation of vehicles, thus creating a more efficient sharing of the fleet across the business</w:t>
      </w:r>
    </w:p>
    <w:p w:rsidR="00D602A2" w:rsidRDefault="00D602A2" w:rsidP="00B86A4E">
      <w:pPr>
        <w:keepNext/>
        <w:numPr>
          <w:ilvl w:val="0"/>
          <w:numId w:val="16"/>
        </w:numPr>
      </w:pPr>
      <w:r>
        <w:t>an associated increase in pool management staff to ensure that vehicles are maintained, clean and that safety and equipment checks are undertaken before each booking</w:t>
      </w:r>
    </w:p>
    <w:p w:rsidR="00A11CF4" w:rsidRDefault="00F62D3C" w:rsidP="00B86A4E">
      <w:pPr>
        <w:keepNext/>
        <w:numPr>
          <w:ilvl w:val="0"/>
          <w:numId w:val="16"/>
        </w:numPr>
      </w:pPr>
      <w:r>
        <w:t>a fleet mix that meets the tasks</w:t>
      </w:r>
    </w:p>
    <w:p w:rsidR="00A11CF4" w:rsidRDefault="00F62D3C" w:rsidP="00A11CF4">
      <w:pPr>
        <w:numPr>
          <w:ilvl w:val="0"/>
          <w:numId w:val="16"/>
        </w:numPr>
      </w:pPr>
      <w:r>
        <w:t>associated improvements such as work, health and safety improvements (progressive phasing out of rear side-facing passenger seats</w:t>
      </w:r>
      <w:r w:rsidR="00D602A2">
        <w:t xml:space="preserve"> and a redesign of cargo storage and securing</w:t>
      </w:r>
      <w:r>
        <w:t>)</w:t>
      </w:r>
    </w:p>
    <w:p w:rsidR="00A11CF4" w:rsidRDefault="00F62D3C" w:rsidP="00A11CF4">
      <w:pPr>
        <w:numPr>
          <w:ilvl w:val="0"/>
          <w:numId w:val="16"/>
        </w:numPr>
      </w:pPr>
      <w:r>
        <w:t xml:space="preserve">introduction of electronic fuel cards now becoming more available in Central Australia and </w:t>
      </w:r>
    </w:p>
    <w:p w:rsidR="00A11CF4" w:rsidRDefault="00F62D3C" w:rsidP="00A11CF4">
      <w:pPr>
        <w:numPr>
          <w:ilvl w:val="0"/>
          <w:numId w:val="16"/>
        </w:numPr>
      </w:pPr>
      <w:r>
        <w:t xml:space="preserve">reduced travel time. </w:t>
      </w:r>
    </w:p>
    <w:p w:rsidR="00F62D3C" w:rsidRDefault="00A11CF4" w:rsidP="00F62D3C">
      <w:pPr>
        <w:rPr>
          <w:lang w:eastAsia="en-US"/>
        </w:rPr>
      </w:pPr>
      <w:r>
        <w:rPr>
          <w:lang w:eastAsia="en-US"/>
        </w:rPr>
        <w:t>The fleet size</w:t>
      </w:r>
      <w:r w:rsidR="00E81972">
        <w:rPr>
          <w:lang w:eastAsia="en-US"/>
        </w:rPr>
        <w:t xml:space="preserve"> of the vehicles targeted by the study</w:t>
      </w:r>
      <w:r>
        <w:rPr>
          <w:lang w:eastAsia="en-US"/>
        </w:rPr>
        <w:t xml:space="preserve"> at commencement of change was 105. </w:t>
      </w:r>
      <w:r w:rsidR="00F62D3C">
        <w:rPr>
          <w:lang w:eastAsia="en-US"/>
        </w:rPr>
        <w:t>The key fleet changes being implemented</w:t>
      </w:r>
      <w:r>
        <w:rPr>
          <w:lang w:eastAsia="en-US"/>
        </w:rPr>
        <w:t xml:space="preserve"> are</w:t>
      </w:r>
      <w:r w:rsidR="00F62D3C">
        <w:rPr>
          <w:lang w:eastAsia="en-US"/>
        </w:rPr>
        <w:t>:</w:t>
      </w:r>
    </w:p>
    <w:p w:rsidR="00F62D3C" w:rsidRDefault="00F62D3C" w:rsidP="00A11CF4">
      <w:pPr>
        <w:numPr>
          <w:ilvl w:val="0"/>
          <w:numId w:val="16"/>
        </w:numPr>
      </w:pPr>
      <w:r>
        <w:t>Reduction in the number of large vehicles and large dual-cab fleet by 2018</w:t>
      </w:r>
    </w:p>
    <w:p w:rsidR="00F62D3C" w:rsidRDefault="00F62D3C" w:rsidP="00A11CF4">
      <w:pPr>
        <w:numPr>
          <w:ilvl w:val="0"/>
          <w:numId w:val="16"/>
        </w:numPr>
      </w:pPr>
      <w:r>
        <w:t>Progressively increasing the number of medium size 4WD Alice Springs fleet</w:t>
      </w:r>
      <w:r w:rsidR="00A11CF4">
        <w:t xml:space="preserve"> and</w:t>
      </w:r>
    </w:p>
    <w:p w:rsidR="00F62D3C" w:rsidRDefault="00F62D3C" w:rsidP="00A11CF4">
      <w:pPr>
        <w:numPr>
          <w:ilvl w:val="0"/>
          <w:numId w:val="16"/>
        </w:numPr>
      </w:pPr>
      <w:r>
        <w:t>Increase the size of the ‘town’ car fleet at Alice Springs by 3 vehicles.</w:t>
      </w:r>
    </w:p>
    <w:p w:rsidR="00A11CF4" w:rsidRDefault="00A11CF4" w:rsidP="00A11CF4">
      <w:pPr>
        <w:pStyle w:val="Captionstyle"/>
        <w:keepNext/>
        <w:ind w:left="360"/>
      </w:pPr>
      <w:r w:rsidRPr="00A11CF4">
        <w:t xml:space="preserve">Table </w:t>
      </w:r>
      <w:r>
        <w:t>4</w:t>
      </w:r>
      <w:r w:rsidRPr="00A11CF4">
        <w:t xml:space="preserve">: </w:t>
      </w:r>
      <w:r>
        <w:t>Staged implementation of transport study recommendations</w:t>
      </w:r>
      <w:r w:rsidR="001613D7">
        <w:t xml:space="preserve"> – Alice Springs</w:t>
      </w:r>
    </w:p>
    <w:tbl>
      <w:tblPr>
        <w:tblW w:w="9213"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3384"/>
        <w:gridCol w:w="1457"/>
        <w:gridCol w:w="1457"/>
        <w:gridCol w:w="1457"/>
        <w:gridCol w:w="1458"/>
      </w:tblGrid>
      <w:tr w:rsidR="001613D7" w:rsidRPr="00F23E66" w:rsidTr="001613D7">
        <w:trPr>
          <w:trHeight w:val="370"/>
        </w:trPr>
        <w:tc>
          <w:tcPr>
            <w:tcW w:w="3384" w:type="dxa"/>
            <w:tcBorders>
              <w:bottom w:val="single" w:sz="8" w:space="0" w:color="000000"/>
            </w:tcBorders>
            <w:shd w:val="clear" w:color="auto" w:fill="000000"/>
            <w:vAlign w:val="center"/>
          </w:tcPr>
          <w:p w:rsidR="001613D7" w:rsidRPr="005C3F36" w:rsidRDefault="001613D7" w:rsidP="001613D7">
            <w:pPr>
              <w:keepNext/>
              <w:jc w:val="left"/>
              <w:rPr>
                <w:b/>
                <w:bCs/>
                <w:color w:val="FFFFFF"/>
                <w:szCs w:val="22"/>
              </w:rPr>
            </w:pPr>
            <w:r>
              <w:rPr>
                <w:b/>
                <w:bCs/>
                <w:color w:val="FFFFFF"/>
                <w:szCs w:val="22"/>
              </w:rPr>
              <w:t>Action</w:t>
            </w:r>
          </w:p>
        </w:tc>
        <w:tc>
          <w:tcPr>
            <w:tcW w:w="1457" w:type="dxa"/>
            <w:tcBorders>
              <w:bottom w:val="single" w:sz="8" w:space="0" w:color="000000"/>
            </w:tcBorders>
            <w:shd w:val="clear" w:color="auto" w:fill="000000"/>
          </w:tcPr>
          <w:p w:rsidR="001613D7" w:rsidRDefault="001613D7" w:rsidP="001613D7">
            <w:pPr>
              <w:keepNext/>
              <w:jc w:val="center"/>
              <w:rPr>
                <w:b/>
                <w:bCs/>
                <w:color w:val="FFFFFF"/>
                <w:szCs w:val="22"/>
              </w:rPr>
            </w:pPr>
            <w:r>
              <w:rPr>
                <w:b/>
                <w:bCs/>
                <w:color w:val="FFFFFF"/>
                <w:szCs w:val="22"/>
              </w:rPr>
              <w:t>Total change</w:t>
            </w:r>
          </w:p>
        </w:tc>
        <w:tc>
          <w:tcPr>
            <w:tcW w:w="1457" w:type="dxa"/>
            <w:tcBorders>
              <w:bottom w:val="single" w:sz="8" w:space="0" w:color="000000"/>
            </w:tcBorders>
            <w:shd w:val="clear" w:color="auto" w:fill="000000"/>
          </w:tcPr>
          <w:p w:rsidR="001613D7" w:rsidRPr="00F23E66" w:rsidRDefault="001613D7" w:rsidP="001613D7">
            <w:pPr>
              <w:keepNext/>
              <w:jc w:val="center"/>
              <w:rPr>
                <w:b/>
                <w:bCs/>
                <w:color w:val="FFFFFF"/>
                <w:szCs w:val="22"/>
              </w:rPr>
            </w:pPr>
            <w:r>
              <w:rPr>
                <w:b/>
                <w:bCs/>
                <w:color w:val="FFFFFF"/>
                <w:szCs w:val="22"/>
              </w:rPr>
              <w:t>2015/16</w:t>
            </w:r>
          </w:p>
        </w:tc>
        <w:tc>
          <w:tcPr>
            <w:tcW w:w="1457" w:type="dxa"/>
            <w:tcBorders>
              <w:bottom w:val="single" w:sz="8" w:space="0" w:color="000000"/>
            </w:tcBorders>
            <w:shd w:val="clear" w:color="auto" w:fill="000000"/>
          </w:tcPr>
          <w:p w:rsidR="001613D7" w:rsidRPr="00F23E66" w:rsidRDefault="001613D7" w:rsidP="001613D7">
            <w:pPr>
              <w:keepNext/>
              <w:jc w:val="center"/>
              <w:rPr>
                <w:b/>
                <w:bCs/>
                <w:color w:val="FFFFFF"/>
                <w:szCs w:val="22"/>
              </w:rPr>
            </w:pPr>
            <w:r>
              <w:rPr>
                <w:b/>
                <w:bCs/>
                <w:color w:val="FFFFFF"/>
                <w:szCs w:val="22"/>
              </w:rPr>
              <w:t>2016/17</w:t>
            </w:r>
          </w:p>
        </w:tc>
        <w:tc>
          <w:tcPr>
            <w:tcW w:w="1458" w:type="dxa"/>
            <w:tcBorders>
              <w:bottom w:val="single" w:sz="8" w:space="0" w:color="000000"/>
            </w:tcBorders>
            <w:shd w:val="clear" w:color="auto" w:fill="000000"/>
          </w:tcPr>
          <w:p w:rsidR="001613D7" w:rsidRPr="00F23E66" w:rsidRDefault="001613D7" w:rsidP="001613D7">
            <w:pPr>
              <w:keepNext/>
              <w:jc w:val="center"/>
              <w:rPr>
                <w:b/>
                <w:bCs/>
                <w:color w:val="FFFFFF"/>
                <w:szCs w:val="22"/>
              </w:rPr>
            </w:pPr>
            <w:r>
              <w:rPr>
                <w:b/>
                <w:bCs/>
                <w:color w:val="FFFFFF"/>
                <w:szCs w:val="22"/>
              </w:rPr>
              <w:t>2017/18</w:t>
            </w:r>
          </w:p>
        </w:tc>
      </w:tr>
      <w:tr w:rsidR="001613D7" w:rsidRPr="00A11CF4" w:rsidTr="001613D7">
        <w:trPr>
          <w:trHeight w:val="370"/>
        </w:trPr>
        <w:tc>
          <w:tcPr>
            <w:tcW w:w="3384" w:type="dxa"/>
            <w:tcBorders>
              <w:top w:val="single" w:sz="8" w:space="0" w:color="000000"/>
              <w:bottom w:val="single" w:sz="8" w:space="0" w:color="000000"/>
            </w:tcBorders>
            <w:vAlign w:val="center"/>
          </w:tcPr>
          <w:p w:rsidR="001613D7" w:rsidRPr="009B7266" w:rsidRDefault="001613D7" w:rsidP="001613D7">
            <w:pPr>
              <w:pStyle w:val="TableText"/>
              <w:spacing w:before="40" w:after="40"/>
              <w:rPr>
                <w:rFonts w:ascii="Arial" w:hAnsi="Arial" w:cs="Arial"/>
                <w:b/>
              </w:rPr>
            </w:pPr>
            <w:r w:rsidRPr="009B7266">
              <w:rPr>
                <w:rFonts w:ascii="Arial" w:hAnsi="Arial" w:cs="Arial"/>
                <w:b/>
              </w:rPr>
              <w:t>Acquisition/replacement</w:t>
            </w:r>
          </w:p>
        </w:tc>
        <w:tc>
          <w:tcPr>
            <w:tcW w:w="1457" w:type="dxa"/>
            <w:tcBorders>
              <w:top w:val="single" w:sz="8" w:space="0" w:color="000000"/>
              <w:bottom w:val="single" w:sz="8" w:space="0" w:color="000000"/>
            </w:tcBorders>
          </w:tcPr>
          <w:p w:rsidR="001613D7" w:rsidRPr="009B7266" w:rsidRDefault="001613D7" w:rsidP="001613D7">
            <w:pPr>
              <w:pStyle w:val="TableText"/>
              <w:spacing w:before="40" w:after="40"/>
              <w:jc w:val="center"/>
              <w:rPr>
                <w:rFonts w:ascii="Arial" w:hAnsi="Arial" w:cs="Arial"/>
                <w:b/>
              </w:rPr>
            </w:pPr>
          </w:p>
        </w:tc>
        <w:tc>
          <w:tcPr>
            <w:tcW w:w="1457" w:type="dxa"/>
            <w:tcBorders>
              <w:top w:val="single" w:sz="8" w:space="0" w:color="000000"/>
              <w:bottom w:val="single" w:sz="8" w:space="0" w:color="000000"/>
            </w:tcBorders>
            <w:vAlign w:val="center"/>
          </w:tcPr>
          <w:p w:rsidR="001613D7" w:rsidRPr="009B7266" w:rsidRDefault="001613D7" w:rsidP="001613D7">
            <w:pPr>
              <w:pStyle w:val="TableText"/>
              <w:spacing w:before="40" w:after="40"/>
              <w:jc w:val="center"/>
              <w:rPr>
                <w:rFonts w:ascii="Arial" w:hAnsi="Arial" w:cs="Arial"/>
                <w:b/>
              </w:rPr>
            </w:pPr>
          </w:p>
        </w:tc>
        <w:tc>
          <w:tcPr>
            <w:tcW w:w="1457" w:type="dxa"/>
            <w:tcBorders>
              <w:top w:val="single" w:sz="8" w:space="0" w:color="000000"/>
              <w:bottom w:val="single" w:sz="8" w:space="0" w:color="000000"/>
            </w:tcBorders>
            <w:vAlign w:val="center"/>
          </w:tcPr>
          <w:p w:rsidR="001613D7" w:rsidRPr="009B7266" w:rsidRDefault="001613D7" w:rsidP="001613D7">
            <w:pPr>
              <w:pStyle w:val="TableText"/>
              <w:spacing w:before="40" w:after="40"/>
              <w:jc w:val="center"/>
              <w:rPr>
                <w:rFonts w:ascii="Arial" w:hAnsi="Arial" w:cs="Arial"/>
                <w:b/>
              </w:rPr>
            </w:pPr>
          </w:p>
        </w:tc>
        <w:tc>
          <w:tcPr>
            <w:tcW w:w="1458" w:type="dxa"/>
            <w:tcBorders>
              <w:top w:val="single" w:sz="8" w:space="0" w:color="000000"/>
              <w:bottom w:val="single" w:sz="8" w:space="0" w:color="000000"/>
            </w:tcBorders>
            <w:vAlign w:val="center"/>
          </w:tcPr>
          <w:p w:rsidR="001613D7" w:rsidRPr="009B7266" w:rsidRDefault="001613D7" w:rsidP="001613D7">
            <w:pPr>
              <w:pStyle w:val="TableText"/>
              <w:spacing w:before="40" w:after="40"/>
              <w:jc w:val="center"/>
              <w:rPr>
                <w:rFonts w:ascii="Arial" w:hAnsi="Arial" w:cs="Arial"/>
                <w:b/>
              </w:rPr>
            </w:pPr>
          </w:p>
        </w:tc>
      </w:tr>
      <w:tr w:rsidR="001613D7" w:rsidRPr="00A11CF4" w:rsidTr="004124DC">
        <w:trPr>
          <w:trHeight w:val="370"/>
        </w:trPr>
        <w:tc>
          <w:tcPr>
            <w:tcW w:w="3384" w:type="dxa"/>
            <w:tcBorders>
              <w:top w:val="single" w:sz="8" w:space="0" w:color="000000"/>
              <w:bottom w:val="single" w:sz="8" w:space="0" w:color="000000"/>
            </w:tcBorders>
            <w:vAlign w:val="center"/>
          </w:tcPr>
          <w:p w:rsidR="001613D7" w:rsidRPr="00A11CF4" w:rsidRDefault="001613D7" w:rsidP="00D602A2">
            <w:pPr>
              <w:pStyle w:val="TableText"/>
              <w:spacing w:after="40"/>
              <w:rPr>
                <w:rFonts w:ascii="Arial" w:hAnsi="Arial" w:cs="Arial"/>
              </w:rPr>
            </w:pPr>
            <w:r>
              <w:rPr>
                <w:rFonts w:ascii="Arial" w:hAnsi="Arial" w:cs="Arial"/>
              </w:rPr>
              <w:t>Medium 4WD – additional (eg Prado, base model 200)</w:t>
            </w:r>
          </w:p>
        </w:tc>
        <w:tc>
          <w:tcPr>
            <w:tcW w:w="1457" w:type="dxa"/>
            <w:tcBorders>
              <w:top w:val="single" w:sz="8" w:space="0" w:color="000000"/>
              <w:bottom w:val="single" w:sz="8" w:space="0" w:color="000000"/>
            </w:tcBorders>
            <w:vAlign w:val="center"/>
          </w:tcPr>
          <w:p w:rsidR="001613D7" w:rsidRDefault="00D602A2" w:rsidP="00D602A2">
            <w:pPr>
              <w:pStyle w:val="TableText"/>
              <w:spacing w:after="40"/>
              <w:jc w:val="center"/>
              <w:rPr>
                <w:rFonts w:ascii="Arial" w:hAnsi="Arial" w:cs="Arial"/>
              </w:rPr>
            </w:pPr>
            <w:r>
              <w:rPr>
                <w:rFonts w:ascii="Arial" w:hAnsi="Arial" w:cs="Arial"/>
              </w:rPr>
              <w:t>+</w:t>
            </w:r>
            <w:r w:rsidR="001613D7">
              <w:rPr>
                <w:rFonts w:ascii="Arial" w:hAnsi="Arial" w:cs="Arial"/>
              </w:rPr>
              <w:t>18</w:t>
            </w:r>
          </w:p>
        </w:tc>
        <w:tc>
          <w:tcPr>
            <w:tcW w:w="1457" w:type="dxa"/>
            <w:tcBorders>
              <w:top w:val="single" w:sz="8" w:space="0" w:color="000000"/>
              <w:bottom w:val="single" w:sz="8" w:space="0" w:color="000000"/>
            </w:tcBorders>
            <w:vAlign w:val="center"/>
          </w:tcPr>
          <w:p w:rsidR="001613D7" w:rsidRPr="00A11CF4" w:rsidRDefault="00D602A2" w:rsidP="00D602A2">
            <w:pPr>
              <w:pStyle w:val="TableText"/>
              <w:spacing w:after="40"/>
              <w:jc w:val="center"/>
              <w:rPr>
                <w:rFonts w:ascii="Arial" w:hAnsi="Arial" w:cs="Arial"/>
              </w:rPr>
            </w:pPr>
            <w:r>
              <w:rPr>
                <w:rFonts w:ascii="Arial" w:hAnsi="Arial" w:cs="Arial"/>
              </w:rPr>
              <w:t>+</w:t>
            </w:r>
            <w:r w:rsidR="001613D7">
              <w:rPr>
                <w:rFonts w:ascii="Arial" w:hAnsi="Arial" w:cs="Arial"/>
              </w:rPr>
              <w:t>8</w:t>
            </w:r>
          </w:p>
        </w:tc>
        <w:tc>
          <w:tcPr>
            <w:tcW w:w="1457" w:type="dxa"/>
            <w:tcBorders>
              <w:top w:val="single" w:sz="8" w:space="0" w:color="000000"/>
              <w:bottom w:val="single" w:sz="8" w:space="0" w:color="000000"/>
            </w:tcBorders>
            <w:vAlign w:val="center"/>
          </w:tcPr>
          <w:p w:rsidR="001613D7" w:rsidRPr="00A11CF4" w:rsidRDefault="00D602A2" w:rsidP="00D602A2">
            <w:pPr>
              <w:pStyle w:val="TableText"/>
              <w:spacing w:after="40"/>
              <w:jc w:val="center"/>
              <w:rPr>
                <w:rFonts w:ascii="Arial" w:hAnsi="Arial" w:cs="Arial"/>
              </w:rPr>
            </w:pPr>
            <w:r>
              <w:rPr>
                <w:rFonts w:ascii="Arial" w:hAnsi="Arial" w:cs="Arial"/>
              </w:rPr>
              <w:t>+</w:t>
            </w:r>
            <w:r w:rsidR="001613D7">
              <w:rPr>
                <w:rFonts w:ascii="Arial" w:hAnsi="Arial" w:cs="Arial"/>
              </w:rPr>
              <w:t>6</w:t>
            </w:r>
          </w:p>
        </w:tc>
        <w:tc>
          <w:tcPr>
            <w:tcW w:w="1458" w:type="dxa"/>
            <w:tcBorders>
              <w:top w:val="single" w:sz="8" w:space="0" w:color="000000"/>
              <w:bottom w:val="single" w:sz="8" w:space="0" w:color="000000"/>
            </w:tcBorders>
            <w:vAlign w:val="center"/>
          </w:tcPr>
          <w:p w:rsidR="001613D7" w:rsidRPr="00A11CF4" w:rsidRDefault="00D602A2" w:rsidP="00D602A2">
            <w:pPr>
              <w:pStyle w:val="TableText"/>
              <w:spacing w:after="40"/>
              <w:jc w:val="center"/>
              <w:rPr>
                <w:rFonts w:ascii="Arial" w:hAnsi="Arial" w:cs="Arial"/>
              </w:rPr>
            </w:pPr>
            <w:r>
              <w:rPr>
                <w:rFonts w:ascii="Arial" w:hAnsi="Arial" w:cs="Arial"/>
              </w:rPr>
              <w:t>+</w:t>
            </w:r>
            <w:r w:rsidR="001613D7">
              <w:rPr>
                <w:rFonts w:ascii="Arial" w:hAnsi="Arial" w:cs="Arial"/>
              </w:rPr>
              <w:t>4</w:t>
            </w:r>
          </w:p>
        </w:tc>
      </w:tr>
      <w:tr w:rsidR="001613D7" w:rsidRPr="00A11CF4" w:rsidTr="004124DC">
        <w:trPr>
          <w:trHeight w:val="370"/>
        </w:trPr>
        <w:tc>
          <w:tcPr>
            <w:tcW w:w="3384" w:type="dxa"/>
            <w:tcBorders>
              <w:top w:val="single" w:sz="8" w:space="0" w:color="000000"/>
              <w:bottom w:val="single" w:sz="8" w:space="0" w:color="000000"/>
            </w:tcBorders>
            <w:vAlign w:val="center"/>
          </w:tcPr>
          <w:p w:rsidR="001613D7" w:rsidRPr="00A11CF4" w:rsidRDefault="001613D7" w:rsidP="00D602A2">
            <w:pPr>
              <w:pStyle w:val="TableText"/>
              <w:spacing w:after="40"/>
              <w:rPr>
                <w:rFonts w:ascii="Arial" w:hAnsi="Arial" w:cs="Arial"/>
              </w:rPr>
            </w:pPr>
            <w:r>
              <w:rPr>
                <w:rFonts w:ascii="Arial" w:hAnsi="Arial" w:cs="Arial"/>
              </w:rPr>
              <w:t>Light car fleet - additional</w:t>
            </w:r>
          </w:p>
        </w:tc>
        <w:tc>
          <w:tcPr>
            <w:tcW w:w="1457" w:type="dxa"/>
            <w:tcBorders>
              <w:top w:val="single" w:sz="8" w:space="0" w:color="000000"/>
              <w:bottom w:val="single" w:sz="8" w:space="0" w:color="000000"/>
            </w:tcBorders>
            <w:vAlign w:val="center"/>
          </w:tcPr>
          <w:p w:rsidR="001613D7" w:rsidRDefault="00D602A2" w:rsidP="00D602A2">
            <w:pPr>
              <w:pStyle w:val="TableText"/>
              <w:spacing w:after="40"/>
              <w:jc w:val="center"/>
              <w:rPr>
                <w:rFonts w:ascii="Arial" w:hAnsi="Arial" w:cs="Arial"/>
              </w:rPr>
            </w:pPr>
            <w:r>
              <w:rPr>
                <w:rFonts w:ascii="Arial" w:hAnsi="Arial" w:cs="Arial"/>
              </w:rPr>
              <w:t>+</w:t>
            </w:r>
            <w:r w:rsidR="001613D7">
              <w:rPr>
                <w:rFonts w:ascii="Arial" w:hAnsi="Arial" w:cs="Arial"/>
              </w:rPr>
              <w:t>3</w:t>
            </w:r>
          </w:p>
        </w:tc>
        <w:tc>
          <w:tcPr>
            <w:tcW w:w="1457" w:type="dxa"/>
            <w:tcBorders>
              <w:top w:val="single" w:sz="8" w:space="0" w:color="000000"/>
              <w:bottom w:val="single" w:sz="8" w:space="0" w:color="000000"/>
            </w:tcBorders>
            <w:vAlign w:val="center"/>
          </w:tcPr>
          <w:p w:rsidR="001613D7" w:rsidRPr="00A11CF4" w:rsidRDefault="00D602A2" w:rsidP="00D602A2">
            <w:pPr>
              <w:pStyle w:val="TableText"/>
              <w:spacing w:after="40"/>
              <w:jc w:val="center"/>
              <w:rPr>
                <w:rFonts w:ascii="Arial" w:hAnsi="Arial" w:cs="Arial"/>
              </w:rPr>
            </w:pPr>
            <w:r>
              <w:rPr>
                <w:rFonts w:ascii="Arial" w:hAnsi="Arial" w:cs="Arial"/>
              </w:rPr>
              <w:t>+</w:t>
            </w:r>
            <w:r w:rsidR="001613D7">
              <w:rPr>
                <w:rFonts w:ascii="Arial" w:hAnsi="Arial" w:cs="Arial"/>
              </w:rPr>
              <w:t>3</w:t>
            </w:r>
          </w:p>
        </w:tc>
        <w:tc>
          <w:tcPr>
            <w:tcW w:w="1457" w:type="dxa"/>
            <w:tcBorders>
              <w:top w:val="single" w:sz="8" w:space="0" w:color="000000"/>
              <w:bottom w:val="single" w:sz="8" w:space="0" w:color="000000"/>
            </w:tcBorders>
            <w:vAlign w:val="center"/>
          </w:tcPr>
          <w:p w:rsidR="001613D7" w:rsidRPr="00A11CF4" w:rsidRDefault="001613D7" w:rsidP="00D602A2">
            <w:pPr>
              <w:pStyle w:val="TableText"/>
              <w:spacing w:after="40"/>
              <w:jc w:val="center"/>
              <w:rPr>
                <w:rFonts w:ascii="Arial" w:hAnsi="Arial" w:cs="Arial"/>
              </w:rPr>
            </w:pPr>
            <w:r>
              <w:rPr>
                <w:rFonts w:ascii="Arial" w:hAnsi="Arial" w:cs="Arial"/>
              </w:rPr>
              <w:t>0</w:t>
            </w:r>
          </w:p>
        </w:tc>
        <w:tc>
          <w:tcPr>
            <w:tcW w:w="1458" w:type="dxa"/>
            <w:tcBorders>
              <w:top w:val="single" w:sz="8" w:space="0" w:color="000000"/>
              <w:bottom w:val="single" w:sz="8" w:space="0" w:color="000000"/>
            </w:tcBorders>
            <w:vAlign w:val="center"/>
          </w:tcPr>
          <w:p w:rsidR="001613D7" w:rsidRPr="00A11CF4" w:rsidRDefault="001613D7" w:rsidP="00D602A2">
            <w:pPr>
              <w:pStyle w:val="TableText"/>
              <w:spacing w:after="40"/>
              <w:jc w:val="center"/>
              <w:rPr>
                <w:rFonts w:ascii="Arial" w:hAnsi="Arial" w:cs="Arial"/>
              </w:rPr>
            </w:pPr>
            <w:r>
              <w:rPr>
                <w:rFonts w:ascii="Arial" w:hAnsi="Arial" w:cs="Arial"/>
              </w:rPr>
              <w:t>0</w:t>
            </w:r>
          </w:p>
        </w:tc>
      </w:tr>
      <w:tr w:rsidR="001613D7" w:rsidRPr="00C01D94" w:rsidTr="004124DC">
        <w:trPr>
          <w:trHeight w:val="370"/>
        </w:trPr>
        <w:tc>
          <w:tcPr>
            <w:tcW w:w="3384" w:type="dxa"/>
            <w:tcBorders>
              <w:top w:val="single" w:sz="8" w:space="0" w:color="000000"/>
              <w:bottom w:val="single" w:sz="8" w:space="0" w:color="000000"/>
              <w:right w:val="nil"/>
            </w:tcBorders>
            <w:vAlign w:val="center"/>
          </w:tcPr>
          <w:p w:rsidR="001613D7" w:rsidRPr="00C01D94" w:rsidRDefault="001613D7" w:rsidP="00D602A2">
            <w:pPr>
              <w:pStyle w:val="TableText"/>
              <w:spacing w:after="40"/>
              <w:rPr>
                <w:rFonts w:ascii="Arial" w:hAnsi="Arial" w:cs="Arial"/>
                <w:b/>
              </w:rPr>
            </w:pPr>
            <w:r w:rsidRPr="00C01D94">
              <w:rPr>
                <w:rFonts w:ascii="Arial" w:hAnsi="Arial" w:cs="Arial"/>
                <w:b/>
              </w:rPr>
              <w:t>Total</w:t>
            </w:r>
          </w:p>
        </w:tc>
        <w:tc>
          <w:tcPr>
            <w:tcW w:w="1457" w:type="dxa"/>
            <w:tcBorders>
              <w:top w:val="single" w:sz="8" w:space="0" w:color="000000"/>
              <w:left w:val="nil"/>
              <w:bottom w:val="single" w:sz="8" w:space="0" w:color="000000"/>
              <w:right w:val="nil"/>
            </w:tcBorders>
            <w:vAlign w:val="center"/>
          </w:tcPr>
          <w:p w:rsidR="001613D7" w:rsidRPr="00C01D94" w:rsidRDefault="00D602A2" w:rsidP="00D602A2">
            <w:pPr>
              <w:pStyle w:val="TableText"/>
              <w:spacing w:after="40"/>
              <w:jc w:val="center"/>
              <w:rPr>
                <w:rFonts w:ascii="Arial" w:hAnsi="Arial" w:cs="Arial"/>
                <w:b/>
              </w:rPr>
            </w:pPr>
            <w:r>
              <w:rPr>
                <w:rFonts w:ascii="Arial" w:hAnsi="Arial" w:cs="Arial"/>
                <w:b/>
              </w:rPr>
              <w:t>+</w:t>
            </w:r>
            <w:r w:rsidR="001613D7" w:rsidRPr="00C01D94">
              <w:rPr>
                <w:rFonts w:ascii="Arial" w:hAnsi="Arial" w:cs="Arial"/>
                <w:b/>
              </w:rPr>
              <w:t>21</w:t>
            </w:r>
          </w:p>
        </w:tc>
        <w:tc>
          <w:tcPr>
            <w:tcW w:w="1457" w:type="dxa"/>
            <w:tcBorders>
              <w:top w:val="single" w:sz="8" w:space="0" w:color="000000"/>
              <w:left w:val="nil"/>
              <w:bottom w:val="single" w:sz="8" w:space="0" w:color="000000"/>
            </w:tcBorders>
            <w:vAlign w:val="center"/>
          </w:tcPr>
          <w:p w:rsidR="001613D7" w:rsidRPr="00C01D94" w:rsidRDefault="001613D7" w:rsidP="00D602A2">
            <w:pPr>
              <w:pStyle w:val="TableText"/>
              <w:spacing w:after="40"/>
              <w:jc w:val="center"/>
              <w:rPr>
                <w:rFonts w:ascii="Arial" w:hAnsi="Arial" w:cs="Arial"/>
                <w:b/>
              </w:rPr>
            </w:pPr>
          </w:p>
        </w:tc>
        <w:tc>
          <w:tcPr>
            <w:tcW w:w="1457" w:type="dxa"/>
            <w:tcBorders>
              <w:top w:val="single" w:sz="8" w:space="0" w:color="000000"/>
              <w:bottom w:val="single" w:sz="8" w:space="0" w:color="000000"/>
            </w:tcBorders>
            <w:vAlign w:val="center"/>
          </w:tcPr>
          <w:p w:rsidR="001613D7" w:rsidRPr="00C01D94" w:rsidRDefault="001613D7" w:rsidP="00D602A2">
            <w:pPr>
              <w:pStyle w:val="TableText"/>
              <w:spacing w:after="40"/>
              <w:jc w:val="center"/>
              <w:rPr>
                <w:rFonts w:ascii="Arial" w:hAnsi="Arial" w:cs="Arial"/>
                <w:b/>
              </w:rPr>
            </w:pPr>
          </w:p>
        </w:tc>
        <w:tc>
          <w:tcPr>
            <w:tcW w:w="1458" w:type="dxa"/>
            <w:tcBorders>
              <w:top w:val="single" w:sz="8" w:space="0" w:color="000000"/>
              <w:bottom w:val="single" w:sz="8" w:space="0" w:color="000000"/>
            </w:tcBorders>
            <w:vAlign w:val="center"/>
          </w:tcPr>
          <w:p w:rsidR="001613D7" w:rsidRPr="00C01D94" w:rsidRDefault="001613D7" w:rsidP="00D602A2">
            <w:pPr>
              <w:pStyle w:val="TableText"/>
              <w:spacing w:after="40"/>
              <w:jc w:val="center"/>
              <w:rPr>
                <w:rFonts w:ascii="Arial" w:hAnsi="Arial" w:cs="Arial"/>
                <w:b/>
              </w:rPr>
            </w:pPr>
          </w:p>
        </w:tc>
      </w:tr>
      <w:tr w:rsidR="001613D7" w:rsidRPr="00A11CF4" w:rsidTr="004124DC">
        <w:trPr>
          <w:trHeight w:val="370"/>
        </w:trPr>
        <w:tc>
          <w:tcPr>
            <w:tcW w:w="3384" w:type="dxa"/>
            <w:tcBorders>
              <w:top w:val="single" w:sz="8" w:space="0" w:color="000000"/>
              <w:bottom w:val="single" w:sz="8" w:space="0" w:color="000000"/>
            </w:tcBorders>
            <w:vAlign w:val="center"/>
          </w:tcPr>
          <w:p w:rsidR="001613D7" w:rsidRPr="009B7266" w:rsidRDefault="001613D7" w:rsidP="00D602A2">
            <w:pPr>
              <w:pStyle w:val="TableText"/>
              <w:spacing w:after="40"/>
              <w:rPr>
                <w:rFonts w:ascii="Arial" w:hAnsi="Arial" w:cs="Arial"/>
                <w:b/>
              </w:rPr>
            </w:pPr>
            <w:r w:rsidRPr="009B7266">
              <w:rPr>
                <w:rFonts w:ascii="Arial" w:hAnsi="Arial" w:cs="Arial"/>
                <w:b/>
              </w:rPr>
              <w:t>Disposal (non-changeover)</w:t>
            </w:r>
          </w:p>
        </w:tc>
        <w:tc>
          <w:tcPr>
            <w:tcW w:w="1457" w:type="dxa"/>
            <w:tcBorders>
              <w:top w:val="single" w:sz="8" w:space="0" w:color="000000"/>
              <w:bottom w:val="single" w:sz="8" w:space="0" w:color="000000"/>
            </w:tcBorders>
            <w:vAlign w:val="center"/>
          </w:tcPr>
          <w:p w:rsidR="001613D7" w:rsidRPr="009B7266" w:rsidRDefault="001613D7" w:rsidP="00D602A2">
            <w:pPr>
              <w:pStyle w:val="TableText"/>
              <w:spacing w:after="40"/>
              <w:jc w:val="center"/>
              <w:rPr>
                <w:rFonts w:ascii="Arial" w:hAnsi="Arial" w:cs="Arial"/>
                <w:b/>
              </w:rPr>
            </w:pPr>
          </w:p>
        </w:tc>
        <w:tc>
          <w:tcPr>
            <w:tcW w:w="1457" w:type="dxa"/>
            <w:tcBorders>
              <w:top w:val="single" w:sz="8" w:space="0" w:color="000000"/>
              <w:bottom w:val="single" w:sz="8" w:space="0" w:color="000000"/>
            </w:tcBorders>
            <w:vAlign w:val="center"/>
          </w:tcPr>
          <w:p w:rsidR="001613D7" w:rsidRPr="00A11CF4" w:rsidRDefault="001613D7" w:rsidP="00D602A2">
            <w:pPr>
              <w:pStyle w:val="TableText"/>
              <w:spacing w:after="40"/>
              <w:jc w:val="center"/>
              <w:rPr>
                <w:rFonts w:ascii="Arial" w:hAnsi="Arial" w:cs="Arial"/>
              </w:rPr>
            </w:pPr>
          </w:p>
        </w:tc>
        <w:tc>
          <w:tcPr>
            <w:tcW w:w="1457" w:type="dxa"/>
            <w:tcBorders>
              <w:top w:val="single" w:sz="8" w:space="0" w:color="000000"/>
              <w:bottom w:val="single" w:sz="8" w:space="0" w:color="000000"/>
            </w:tcBorders>
            <w:vAlign w:val="center"/>
          </w:tcPr>
          <w:p w:rsidR="001613D7" w:rsidRPr="00A11CF4" w:rsidRDefault="001613D7" w:rsidP="00D602A2">
            <w:pPr>
              <w:pStyle w:val="TableText"/>
              <w:spacing w:after="40"/>
              <w:jc w:val="center"/>
              <w:rPr>
                <w:rFonts w:ascii="Arial" w:hAnsi="Arial" w:cs="Arial"/>
              </w:rPr>
            </w:pPr>
          </w:p>
        </w:tc>
        <w:tc>
          <w:tcPr>
            <w:tcW w:w="1458" w:type="dxa"/>
            <w:tcBorders>
              <w:top w:val="single" w:sz="8" w:space="0" w:color="000000"/>
              <w:bottom w:val="single" w:sz="8" w:space="0" w:color="000000"/>
            </w:tcBorders>
            <w:vAlign w:val="center"/>
          </w:tcPr>
          <w:p w:rsidR="001613D7" w:rsidRPr="00A11CF4" w:rsidRDefault="001613D7" w:rsidP="00D602A2">
            <w:pPr>
              <w:pStyle w:val="TableText"/>
              <w:spacing w:after="40"/>
              <w:jc w:val="center"/>
              <w:rPr>
                <w:rFonts w:ascii="Arial" w:hAnsi="Arial" w:cs="Arial"/>
              </w:rPr>
            </w:pPr>
          </w:p>
        </w:tc>
      </w:tr>
      <w:tr w:rsidR="001613D7" w:rsidRPr="00A11CF4" w:rsidTr="004124DC">
        <w:trPr>
          <w:trHeight w:val="370"/>
        </w:trPr>
        <w:tc>
          <w:tcPr>
            <w:tcW w:w="3384" w:type="dxa"/>
            <w:tcBorders>
              <w:top w:val="single" w:sz="8" w:space="0" w:color="000000"/>
              <w:bottom w:val="single" w:sz="8" w:space="0" w:color="000000"/>
            </w:tcBorders>
            <w:vAlign w:val="center"/>
          </w:tcPr>
          <w:p w:rsidR="001613D7" w:rsidRPr="00A11CF4" w:rsidRDefault="001613D7" w:rsidP="00D602A2">
            <w:pPr>
              <w:pStyle w:val="TableText"/>
              <w:spacing w:after="40"/>
              <w:rPr>
                <w:rFonts w:ascii="Arial" w:hAnsi="Arial" w:cs="Arial"/>
              </w:rPr>
            </w:pPr>
            <w:r>
              <w:rPr>
                <w:rFonts w:ascii="Arial" w:hAnsi="Arial" w:cs="Arial"/>
              </w:rPr>
              <w:t>Troopies/70s</w:t>
            </w:r>
          </w:p>
        </w:tc>
        <w:tc>
          <w:tcPr>
            <w:tcW w:w="1457" w:type="dxa"/>
            <w:tcBorders>
              <w:top w:val="single" w:sz="8" w:space="0" w:color="000000"/>
              <w:bottom w:val="single" w:sz="8" w:space="0" w:color="000000"/>
            </w:tcBorders>
            <w:vAlign w:val="center"/>
          </w:tcPr>
          <w:p w:rsidR="001613D7" w:rsidRDefault="00D602A2" w:rsidP="00D602A2">
            <w:pPr>
              <w:pStyle w:val="TableText"/>
              <w:spacing w:after="40"/>
              <w:jc w:val="center"/>
              <w:rPr>
                <w:rFonts w:ascii="Arial" w:hAnsi="Arial" w:cs="Arial"/>
              </w:rPr>
            </w:pPr>
            <w:r>
              <w:rPr>
                <w:rFonts w:ascii="Arial" w:hAnsi="Arial" w:cs="Arial"/>
              </w:rPr>
              <w:t>-</w:t>
            </w:r>
            <w:r w:rsidR="001613D7">
              <w:rPr>
                <w:rFonts w:ascii="Arial" w:hAnsi="Arial" w:cs="Arial"/>
              </w:rPr>
              <w:t>30</w:t>
            </w:r>
          </w:p>
        </w:tc>
        <w:tc>
          <w:tcPr>
            <w:tcW w:w="1457" w:type="dxa"/>
            <w:tcBorders>
              <w:top w:val="single" w:sz="8" w:space="0" w:color="000000"/>
              <w:bottom w:val="single" w:sz="8" w:space="0" w:color="000000"/>
            </w:tcBorders>
            <w:vAlign w:val="center"/>
          </w:tcPr>
          <w:p w:rsidR="001613D7" w:rsidRPr="00A11CF4" w:rsidRDefault="00D602A2" w:rsidP="00D602A2">
            <w:pPr>
              <w:pStyle w:val="TableText"/>
              <w:spacing w:after="40"/>
              <w:jc w:val="center"/>
              <w:rPr>
                <w:rFonts w:ascii="Arial" w:hAnsi="Arial" w:cs="Arial"/>
              </w:rPr>
            </w:pPr>
            <w:r>
              <w:rPr>
                <w:rFonts w:ascii="Arial" w:hAnsi="Arial" w:cs="Arial"/>
              </w:rPr>
              <w:t>-</w:t>
            </w:r>
            <w:r w:rsidR="001613D7">
              <w:rPr>
                <w:rFonts w:ascii="Arial" w:hAnsi="Arial" w:cs="Arial"/>
              </w:rPr>
              <w:t>14</w:t>
            </w:r>
          </w:p>
        </w:tc>
        <w:tc>
          <w:tcPr>
            <w:tcW w:w="1457" w:type="dxa"/>
            <w:tcBorders>
              <w:top w:val="single" w:sz="8" w:space="0" w:color="000000"/>
              <w:bottom w:val="single" w:sz="8" w:space="0" w:color="000000"/>
            </w:tcBorders>
            <w:vAlign w:val="center"/>
          </w:tcPr>
          <w:p w:rsidR="001613D7" w:rsidRPr="00A11CF4" w:rsidRDefault="00D602A2" w:rsidP="00D602A2">
            <w:pPr>
              <w:pStyle w:val="TableText"/>
              <w:spacing w:after="40"/>
              <w:jc w:val="center"/>
              <w:rPr>
                <w:rFonts w:ascii="Arial" w:hAnsi="Arial" w:cs="Arial"/>
              </w:rPr>
            </w:pPr>
            <w:r>
              <w:rPr>
                <w:rFonts w:ascii="Arial" w:hAnsi="Arial" w:cs="Arial"/>
              </w:rPr>
              <w:t>-</w:t>
            </w:r>
            <w:r w:rsidR="001613D7">
              <w:rPr>
                <w:rFonts w:ascii="Arial" w:hAnsi="Arial" w:cs="Arial"/>
              </w:rPr>
              <w:t>10</w:t>
            </w:r>
          </w:p>
        </w:tc>
        <w:tc>
          <w:tcPr>
            <w:tcW w:w="1458" w:type="dxa"/>
            <w:tcBorders>
              <w:top w:val="single" w:sz="8" w:space="0" w:color="000000"/>
              <w:bottom w:val="single" w:sz="8" w:space="0" w:color="000000"/>
            </w:tcBorders>
            <w:vAlign w:val="center"/>
          </w:tcPr>
          <w:p w:rsidR="001613D7" w:rsidRPr="00A11CF4" w:rsidRDefault="00D602A2" w:rsidP="00D602A2">
            <w:pPr>
              <w:pStyle w:val="TableText"/>
              <w:spacing w:after="40"/>
              <w:jc w:val="center"/>
              <w:rPr>
                <w:rFonts w:ascii="Arial" w:hAnsi="Arial" w:cs="Arial"/>
              </w:rPr>
            </w:pPr>
            <w:r>
              <w:rPr>
                <w:rFonts w:ascii="Arial" w:hAnsi="Arial" w:cs="Arial"/>
              </w:rPr>
              <w:t>-</w:t>
            </w:r>
            <w:r w:rsidR="001613D7">
              <w:rPr>
                <w:rFonts w:ascii="Arial" w:hAnsi="Arial" w:cs="Arial"/>
              </w:rPr>
              <w:t>6</w:t>
            </w:r>
          </w:p>
        </w:tc>
      </w:tr>
      <w:tr w:rsidR="001613D7" w:rsidRPr="001613D7" w:rsidTr="004124DC">
        <w:trPr>
          <w:trHeight w:val="370"/>
        </w:trPr>
        <w:tc>
          <w:tcPr>
            <w:tcW w:w="3384" w:type="dxa"/>
            <w:tcBorders>
              <w:top w:val="single" w:sz="8" w:space="0" w:color="000000"/>
              <w:bottom w:val="single" w:sz="8" w:space="0" w:color="000000"/>
            </w:tcBorders>
            <w:vAlign w:val="center"/>
          </w:tcPr>
          <w:p w:rsidR="001613D7" w:rsidRPr="001613D7" w:rsidRDefault="001613D7" w:rsidP="00D602A2">
            <w:pPr>
              <w:pStyle w:val="TableText"/>
              <w:spacing w:after="40"/>
              <w:rPr>
                <w:rFonts w:ascii="Arial" w:hAnsi="Arial" w:cs="Arial"/>
              </w:rPr>
            </w:pPr>
            <w:r w:rsidRPr="001613D7">
              <w:rPr>
                <w:rFonts w:ascii="Arial" w:hAnsi="Arial" w:cs="Arial"/>
              </w:rPr>
              <w:t>Dual cab/off-road</w:t>
            </w:r>
          </w:p>
        </w:tc>
        <w:tc>
          <w:tcPr>
            <w:tcW w:w="1457" w:type="dxa"/>
            <w:tcBorders>
              <w:top w:val="single" w:sz="8" w:space="0" w:color="000000"/>
              <w:bottom w:val="single" w:sz="8" w:space="0" w:color="000000"/>
            </w:tcBorders>
            <w:vAlign w:val="center"/>
          </w:tcPr>
          <w:p w:rsidR="001613D7" w:rsidRDefault="00D602A2" w:rsidP="00D602A2">
            <w:pPr>
              <w:pStyle w:val="TableText"/>
              <w:spacing w:after="40"/>
              <w:jc w:val="center"/>
              <w:rPr>
                <w:rFonts w:ascii="Arial" w:hAnsi="Arial" w:cs="Arial"/>
              </w:rPr>
            </w:pPr>
            <w:r>
              <w:rPr>
                <w:rFonts w:ascii="Arial" w:hAnsi="Arial" w:cs="Arial"/>
              </w:rPr>
              <w:t>-</w:t>
            </w:r>
            <w:r w:rsidR="001613D7">
              <w:rPr>
                <w:rFonts w:ascii="Arial" w:hAnsi="Arial" w:cs="Arial"/>
              </w:rPr>
              <w:t>6</w:t>
            </w:r>
          </w:p>
        </w:tc>
        <w:tc>
          <w:tcPr>
            <w:tcW w:w="1457" w:type="dxa"/>
            <w:tcBorders>
              <w:top w:val="single" w:sz="8" w:space="0" w:color="000000"/>
              <w:bottom w:val="single" w:sz="8" w:space="0" w:color="000000"/>
            </w:tcBorders>
            <w:vAlign w:val="center"/>
          </w:tcPr>
          <w:p w:rsidR="001613D7" w:rsidRPr="001613D7" w:rsidRDefault="00D602A2" w:rsidP="00D602A2">
            <w:pPr>
              <w:pStyle w:val="TableText"/>
              <w:spacing w:after="40"/>
              <w:jc w:val="center"/>
              <w:rPr>
                <w:rFonts w:ascii="Arial" w:hAnsi="Arial" w:cs="Arial"/>
              </w:rPr>
            </w:pPr>
            <w:r>
              <w:rPr>
                <w:rFonts w:ascii="Arial" w:hAnsi="Arial" w:cs="Arial"/>
              </w:rPr>
              <w:t>-</w:t>
            </w:r>
            <w:r w:rsidR="001613D7">
              <w:rPr>
                <w:rFonts w:ascii="Arial" w:hAnsi="Arial" w:cs="Arial"/>
              </w:rPr>
              <w:t>2</w:t>
            </w:r>
          </w:p>
        </w:tc>
        <w:tc>
          <w:tcPr>
            <w:tcW w:w="1457" w:type="dxa"/>
            <w:tcBorders>
              <w:top w:val="single" w:sz="8" w:space="0" w:color="000000"/>
              <w:bottom w:val="single" w:sz="8" w:space="0" w:color="000000"/>
            </w:tcBorders>
            <w:vAlign w:val="center"/>
          </w:tcPr>
          <w:p w:rsidR="001613D7" w:rsidRPr="001613D7" w:rsidRDefault="00D602A2" w:rsidP="00D602A2">
            <w:pPr>
              <w:pStyle w:val="TableText"/>
              <w:spacing w:after="40"/>
              <w:jc w:val="center"/>
              <w:rPr>
                <w:rFonts w:ascii="Arial" w:hAnsi="Arial" w:cs="Arial"/>
              </w:rPr>
            </w:pPr>
            <w:r>
              <w:rPr>
                <w:rFonts w:ascii="Arial" w:hAnsi="Arial" w:cs="Arial"/>
              </w:rPr>
              <w:t>-</w:t>
            </w:r>
            <w:r w:rsidR="001613D7">
              <w:rPr>
                <w:rFonts w:ascii="Arial" w:hAnsi="Arial" w:cs="Arial"/>
              </w:rPr>
              <w:t>2</w:t>
            </w:r>
          </w:p>
        </w:tc>
        <w:tc>
          <w:tcPr>
            <w:tcW w:w="1458" w:type="dxa"/>
            <w:tcBorders>
              <w:top w:val="single" w:sz="8" w:space="0" w:color="000000"/>
              <w:bottom w:val="single" w:sz="8" w:space="0" w:color="000000"/>
            </w:tcBorders>
            <w:vAlign w:val="center"/>
          </w:tcPr>
          <w:p w:rsidR="001613D7" w:rsidRPr="001613D7" w:rsidRDefault="00D602A2" w:rsidP="00D602A2">
            <w:pPr>
              <w:pStyle w:val="TableText"/>
              <w:spacing w:after="40"/>
              <w:jc w:val="center"/>
              <w:rPr>
                <w:rFonts w:ascii="Arial" w:hAnsi="Arial" w:cs="Arial"/>
              </w:rPr>
            </w:pPr>
            <w:r>
              <w:rPr>
                <w:rFonts w:ascii="Arial" w:hAnsi="Arial" w:cs="Arial"/>
              </w:rPr>
              <w:t>-</w:t>
            </w:r>
            <w:r w:rsidR="001613D7">
              <w:rPr>
                <w:rFonts w:ascii="Arial" w:hAnsi="Arial" w:cs="Arial"/>
              </w:rPr>
              <w:t>2</w:t>
            </w:r>
          </w:p>
        </w:tc>
      </w:tr>
      <w:tr w:rsidR="001613D7" w:rsidRPr="001613D7" w:rsidTr="004124DC">
        <w:trPr>
          <w:trHeight w:val="370"/>
        </w:trPr>
        <w:tc>
          <w:tcPr>
            <w:tcW w:w="3384" w:type="dxa"/>
            <w:tcBorders>
              <w:top w:val="single" w:sz="8" w:space="0" w:color="000000"/>
              <w:bottom w:val="single" w:sz="8" w:space="0" w:color="000000"/>
              <w:right w:val="nil"/>
            </w:tcBorders>
            <w:vAlign w:val="center"/>
          </w:tcPr>
          <w:p w:rsidR="001613D7" w:rsidRPr="00C01D94" w:rsidRDefault="009B7266" w:rsidP="00D602A2">
            <w:pPr>
              <w:pStyle w:val="TableText"/>
              <w:spacing w:after="40"/>
              <w:rPr>
                <w:rFonts w:ascii="Arial" w:hAnsi="Arial" w:cs="Arial"/>
                <w:b/>
              </w:rPr>
            </w:pPr>
            <w:r w:rsidRPr="00C01D94">
              <w:rPr>
                <w:rFonts w:ascii="Arial" w:hAnsi="Arial" w:cs="Arial"/>
                <w:b/>
              </w:rPr>
              <w:t>Total</w:t>
            </w:r>
          </w:p>
        </w:tc>
        <w:tc>
          <w:tcPr>
            <w:tcW w:w="1457" w:type="dxa"/>
            <w:tcBorders>
              <w:top w:val="single" w:sz="8" w:space="0" w:color="000000"/>
              <w:left w:val="nil"/>
              <w:bottom w:val="single" w:sz="8" w:space="0" w:color="000000"/>
              <w:right w:val="nil"/>
            </w:tcBorders>
            <w:vAlign w:val="center"/>
          </w:tcPr>
          <w:p w:rsidR="001613D7" w:rsidRPr="00C01D94" w:rsidRDefault="00D602A2" w:rsidP="00D602A2">
            <w:pPr>
              <w:pStyle w:val="TableText"/>
              <w:spacing w:after="40"/>
              <w:jc w:val="center"/>
              <w:rPr>
                <w:rFonts w:ascii="Arial" w:hAnsi="Arial" w:cs="Arial"/>
                <w:b/>
              </w:rPr>
            </w:pPr>
            <w:r>
              <w:rPr>
                <w:rFonts w:ascii="Arial" w:hAnsi="Arial" w:cs="Arial"/>
                <w:b/>
              </w:rPr>
              <w:t>-</w:t>
            </w:r>
            <w:r w:rsidR="001613D7" w:rsidRPr="00C01D94">
              <w:rPr>
                <w:rFonts w:ascii="Arial" w:hAnsi="Arial" w:cs="Arial"/>
                <w:b/>
              </w:rPr>
              <w:t>36</w:t>
            </w:r>
          </w:p>
        </w:tc>
        <w:tc>
          <w:tcPr>
            <w:tcW w:w="1457" w:type="dxa"/>
            <w:tcBorders>
              <w:top w:val="single" w:sz="8" w:space="0" w:color="000000"/>
              <w:left w:val="nil"/>
              <w:bottom w:val="single" w:sz="8" w:space="0" w:color="000000"/>
            </w:tcBorders>
            <w:vAlign w:val="center"/>
          </w:tcPr>
          <w:p w:rsidR="001613D7" w:rsidRPr="00C01D94" w:rsidRDefault="001613D7" w:rsidP="00D602A2">
            <w:pPr>
              <w:pStyle w:val="TableText"/>
              <w:spacing w:after="40"/>
              <w:jc w:val="center"/>
              <w:rPr>
                <w:rFonts w:ascii="Arial" w:hAnsi="Arial" w:cs="Arial"/>
                <w:b/>
              </w:rPr>
            </w:pPr>
          </w:p>
        </w:tc>
        <w:tc>
          <w:tcPr>
            <w:tcW w:w="1457" w:type="dxa"/>
            <w:tcBorders>
              <w:top w:val="single" w:sz="8" w:space="0" w:color="000000"/>
              <w:bottom w:val="single" w:sz="8" w:space="0" w:color="000000"/>
            </w:tcBorders>
            <w:vAlign w:val="center"/>
          </w:tcPr>
          <w:p w:rsidR="001613D7" w:rsidRPr="00C01D94" w:rsidRDefault="001613D7" w:rsidP="00D602A2">
            <w:pPr>
              <w:pStyle w:val="TableText"/>
              <w:spacing w:after="40"/>
              <w:jc w:val="center"/>
              <w:rPr>
                <w:rFonts w:ascii="Arial" w:hAnsi="Arial" w:cs="Arial"/>
                <w:b/>
              </w:rPr>
            </w:pPr>
          </w:p>
        </w:tc>
        <w:tc>
          <w:tcPr>
            <w:tcW w:w="1458" w:type="dxa"/>
            <w:tcBorders>
              <w:top w:val="single" w:sz="8" w:space="0" w:color="000000"/>
              <w:bottom w:val="single" w:sz="8" w:space="0" w:color="000000"/>
            </w:tcBorders>
            <w:vAlign w:val="center"/>
          </w:tcPr>
          <w:p w:rsidR="001613D7" w:rsidRPr="00C01D94" w:rsidRDefault="001613D7" w:rsidP="00D602A2">
            <w:pPr>
              <w:pStyle w:val="TableText"/>
              <w:spacing w:after="40"/>
              <w:jc w:val="center"/>
              <w:rPr>
                <w:rFonts w:ascii="Arial" w:hAnsi="Arial" w:cs="Arial"/>
                <w:b/>
              </w:rPr>
            </w:pPr>
          </w:p>
        </w:tc>
      </w:tr>
    </w:tbl>
    <w:p w:rsidR="00A11CF4" w:rsidRPr="00A11CF4" w:rsidRDefault="00A11CF4" w:rsidP="009B7266">
      <w:pPr>
        <w:pStyle w:val="Captionstyle"/>
        <w:ind w:left="357"/>
      </w:pPr>
    </w:p>
    <w:p w:rsidR="004124DC" w:rsidRDefault="004124DC" w:rsidP="004124DC">
      <w:pPr>
        <w:rPr>
          <w:lang w:eastAsia="en-US"/>
        </w:rPr>
      </w:pPr>
      <w:r>
        <w:rPr>
          <w:lang w:eastAsia="en-US"/>
        </w:rPr>
        <w:t xml:space="preserve">Following completion of the study a period of internal consultation ensued prior to incorporating the recommended changes in forward capital budget estimates. </w:t>
      </w:r>
    </w:p>
    <w:p w:rsidR="00F62D3C" w:rsidRDefault="00F62D3C" w:rsidP="00F62D3C">
      <w:pPr>
        <w:rPr>
          <w:lang w:eastAsia="en-US"/>
        </w:rPr>
      </w:pPr>
      <w:r>
        <w:rPr>
          <w:lang w:eastAsia="en-US"/>
        </w:rPr>
        <w:t>Year 1</w:t>
      </w:r>
      <w:r w:rsidR="001613D7">
        <w:rPr>
          <w:lang w:eastAsia="en-US"/>
        </w:rPr>
        <w:t xml:space="preserve"> implementation was deferred until late in the year </w:t>
      </w:r>
      <w:r>
        <w:rPr>
          <w:lang w:eastAsia="en-US"/>
        </w:rPr>
        <w:t>due to a delay in approval by the Minister of the CLC’s capital budget</w:t>
      </w:r>
      <w:r w:rsidR="009B7266">
        <w:rPr>
          <w:lang w:eastAsia="en-US"/>
        </w:rPr>
        <w:t xml:space="preserve">; </w:t>
      </w:r>
      <w:r w:rsidR="00C01D94">
        <w:rPr>
          <w:lang w:eastAsia="en-US"/>
        </w:rPr>
        <w:t>implementation</w:t>
      </w:r>
      <w:r>
        <w:rPr>
          <w:lang w:eastAsia="en-US"/>
        </w:rPr>
        <w:t xml:space="preserve"> commenced in May 2016. There has been a slight divergence in the actual fleet replacement selection, as the release of the new Toyota Hilux range has provided </w:t>
      </w:r>
      <w:r w:rsidR="001613D7">
        <w:rPr>
          <w:lang w:eastAsia="en-US"/>
        </w:rPr>
        <w:t xml:space="preserve">the option of a readily available </w:t>
      </w:r>
      <w:r>
        <w:rPr>
          <w:lang w:eastAsia="en-US"/>
        </w:rPr>
        <w:t>5 star rated vehicle that suits much of the required work</w:t>
      </w:r>
      <w:r w:rsidR="00C01D94">
        <w:rPr>
          <w:lang w:eastAsia="en-US"/>
        </w:rPr>
        <w:t xml:space="preserve">. </w:t>
      </w:r>
      <w:r w:rsidR="001613D7">
        <w:rPr>
          <w:lang w:eastAsia="en-US"/>
        </w:rPr>
        <w:t>It is</w:t>
      </w:r>
      <w:r w:rsidR="00E81972">
        <w:rPr>
          <w:lang w:eastAsia="en-US"/>
        </w:rPr>
        <w:t xml:space="preserve"> now</w:t>
      </w:r>
      <w:r w:rsidR="001613D7">
        <w:rPr>
          <w:lang w:eastAsia="en-US"/>
        </w:rPr>
        <w:t xml:space="preserve"> u</w:t>
      </w:r>
      <w:r w:rsidR="00C01D94">
        <w:rPr>
          <w:lang w:eastAsia="en-US"/>
        </w:rPr>
        <w:t xml:space="preserve">nlikely that many </w:t>
      </w:r>
      <w:r>
        <w:rPr>
          <w:lang w:eastAsia="en-US"/>
        </w:rPr>
        <w:t>Prado-type vehicles will be purchased.</w:t>
      </w:r>
      <w:r w:rsidR="009B7266">
        <w:rPr>
          <w:lang w:eastAsia="en-US"/>
        </w:rPr>
        <w:t xml:space="preserve"> The staged strategy means that any future new models can be incorporated in the strategy if they meet the overall requirements. </w:t>
      </w:r>
    </w:p>
    <w:p w:rsidR="009B7266" w:rsidRDefault="00F62D3C" w:rsidP="000310BF">
      <w:pPr>
        <w:keepNext/>
        <w:rPr>
          <w:lang w:eastAsia="en-US"/>
        </w:rPr>
      </w:pPr>
      <w:r>
        <w:rPr>
          <w:lang w:eastAsia="en-US"/>
        </w:rPr>
        <w:lastRenderedPageBreak/>
        <w:t>The net present value of the fleet change is currently estimated at $3.3 million, comprising</w:t>
      </w:r>
      <w:r w:rsidR="009B7266">
        <w:rPr>
          <w:lang w:eastAsia="en-US"/>
        </w:rPr>
        <w:t>:</w:t>
      </w:r>
    </w:p>
    <w:p w:rsidR="009B7266" w:rsidRDefault="00F62D3C" w:rsidP="000310BF">
      <w:pPr>
        <w:keepNext/>
        <w:numPr>
          <w:ilvl w:val="0"/>
          <w:numId w:val="16"/>
        </w:numPr>
      </w:pPr>
      <w:r>
        <w:t xml:space="preserve"> a reduction in capital expenditure from the change in fleet mix, </w:t>
      </w:r>
    </w:p>
    <w:p w:rsidR="009B7266" w:rsidRDefault="00F62D3C" w:rsidP="000310BF">
      <w:pPr>
        <w:keepNext/>
        <w:numPr>
          <w:ilvl w:val="0"/>
          <w:numId w:val="16"/>
        </w:numPr>
      </w:pPr>
      <w:r>
        <w:t xml:space="preserve">a reduction in fuel and other operational costs, </w:t>
      </w:r>
    </w:p>
    <w:p w:rsidR="009B7266" w:rsidRDefault="00F62D3C" w:rsidP="000310BF">
      <w:pPr>
        <w:keepNext/>
        <w:numPr>
          <w:ilvl w:val="0"/>
          <w:numId w:val="16"/>
        </w:numPr>
      </w:pPr>
      <w:r>
        <w:t>the sale and non-replacement of some vehicles (5 in year 1, 6 in year 2 and 4 in year 3)</w:t>
      </w:r>
      <w:r w:rsidR="009B7266">
        <w:t xml:space="preserve"> and </w:t>
      </w:r>
    </w:p>
    <w:p w:rsidR="00F62D3C" w:rsidRDefault="00F62D3C" w:rsidP="009B7266">
      <w:pPr>
        <w:numPr>
          <w:ilvl w:val="0"/>
          <w:numId w:val="16"/>
        </w:numPr>
      </w:pPr>
      <w:r>
        <w:t>an improvement in the resale value of medium size vehicles which are popular in the second hand 4WD market.</w:t>
      </w:r>
    </w:p>
    <w:p w:rsidR="004124DC" w:rsidRDefault="004124DC" w:rsidP="004124DC">
      <w:pPr>
        <w:rPr>
          <w:lang w:eastAsia="en-US"/>
        </w:rPr>
      </w:pPr>
      <w:r>
        <w:rPr>
          <w:lang w:eastAsia="en-US"/>
        </w:rPr>
        <w:t>Additional staff costs will be incurred in fleet pool management, but they are more than offset by productivity improvements of other staff. Fuel savings also result in carbon emission savings, estimated at 260 tonnes over 3 years.</w:t>
      </w:r>
    </w:p>
    <w:p w:rsidR="00F62D3C" w:rsidRDefault="00F62D3C" w:rsidP="00F62D3C">
      <w:pPr>
        <w:rPr>
          <w:lang w:eastAsia="en-US"/>
        </w:rPr>
      </w:pPr>
      <w:r>
        <w:rPr>
          <w:lang w:eastAsia="en-US"/>
        </w:rPr>
        <w:t>The Minister of Indigenous Affairs has recognised the sound management practices used to improve efficiencies in a tight fiscal environment.</w:t>
      </w:r>
    </w:p>
    <w:p w:rsidR="00AA472E" w:rsidRDefault="009B7266" w:rsidP="00AA472E">
      <w:pPr>
        <w:pStyle w:val="SectionHeadingLevel1"/>
        <w:keepNext/>
      </w:pPr>
      <w:r>
        <w:t>7</w:t>
      </w:r>
      <w:r w:rsidR="00AA472E">
        <w:t xml:space="preserve">. </w:t>
      </w:r>
      <w:r>
        <w:t>Conclusions</w:t>
      </w:r>
    </w:p>
    <w:p w:rsidR="000310BF" w:rsidRDefault="00DA3320" w:rsidP="00F62D3C">
      <w:pPr>
        <w:rPr>
          <w:lang w:eastAsia="en-US"/>
        </w:rPr>
      </w:pPr>
      <w:r>
        <w:rPr>
          <w:lang w:eastAsia="en-US"/>
        </w:rPr>
        <w:t>Central Land Council faced an environment of ever increasing transportation costs and the challenge of financing, managing and maintaining a large fleet of vehicles</w:t>
      </w:r>
      <w:r w:rsidR="000310BF">
        <w:rPr>
          <w:lang w:eastAsia="en-US"/>
        </w:rPr>
        <w:t xml:space="preserve"> in one of the most </w:t>
      </w:r>
      <w:r w:rsidR="00B86A4E">
        <w:rPr>
          <w:lang w:eastAsia="en-US"/>
        </w:rPr>
        <w:t xml:space="preserve">demanding </w:t>
      </w:r>
      <w:r w:rsidR="000310BF">
        <w:rPr>
          <w:lang w:eastAsia="en-US"/>
        </w:rPr>
        <w:t>operating environments in Australia</w:t>
      </w:r>
      <w:r>
        <w:rPr>
          <w:lang w:eastAsia="en-US"/>
        </w:rPr>
        <w:t xml:space="preserve">.  Additionally, a change in the regulatory environment precipitated a major change to the way large groups of people had traditionally been transported to remote meetings, as the carriage of unsecured passengers in side-facing troop carriers had become illegal.  CLC had the foresight to link potential efficiency gains by restructuring the fleet with their Enterprise </w:t>
      </w:r>
      <w:r w:rsidR="000310BF">
        <w:rPr>
          <w:lang w:eastAsia="en-US"/>
        </w:rPr>
        <w:t xml:space="preserve">Bargain agreement. </w:t>
      </w:r>
    </w:p>
    <w:p w:rsidR="00AA472E" w:rsidRDefault="000310BF" w:rsidP="00F62D3C">
      <w:pPr>
        <w:rPr>
          <w:lang w:eastAsia="en-US"/>
        </w:rPr>
      </w:pPr>
      <w:r>
        <w:rPr>
          <w:lang w:eastAsia="en-US"/>
        </w:rPr>
        <w:t xml:space="preserve">The Transportation Study was undertaken in a consultative framework with significant staff inputs.  The level of rigour of analysis of the current transport needs was a major component in the ultimate acceptance by staff of the recommended changes.  The restructuring of the fleet composition and its management </w:t>
      </w:r>
      <w:r w:rsidR="00B83C2E">
        <w:rPr>
          <w:lang w:eastAsia="en-US"/>
        </w:rPr>
        <w:t>has been undertaken i</w:t>
      </w:r>
      <w:r w:rsidR="00BB3AB6">
        <w:rPr>
          <w:lang w:eastAsia="en-US"/>
        </w:rPr>
        <w:t>n</w:t>
      </w:r>
      <w:r w:rsidR="00B83C2E">
        <w:rPr>
          <w:lang w:eastAsia="en-US"/>
        </w:rPr>
        <w:t xml:space="preserve"> a way that demonstrates</w:t>
      </w:r>
      <w:r>
        <w:rPr>
          <w:lang w:eastAsia="en-US"/>
        </w:rPr>
        <w:t xml:space="preserve"> that </w:t>
      </w:r>
      <w:r w:rsidR="00B83C2E">
        <w:rPr>
          <w:lang w:eastAsia="en-US"/>
        </w:rPr>
        <w:t xml:space="preserve">staff can work more efficiently and safely.  </w:t>
      </w:r>
    </w:p>
    <w:p w:rsidR="00B83C2E" w:rsidRDefault="00B83C2E" w:rsidP="00F62D3C">
      <w:pPr>
        <w:rPr>
          <w:lang w:eastAsia="en-US"/>
        </w:rPr>
      </w:pPr>
      <w:r>
        <w:rPr>
          <w:lang w:eastAsia="en-US"/>
        </w:rPr>
        <w:t xml:space="preserve">This paper only touches on </w:t>
      </w:r>
      <w:r w:rsidR="00B86A4E">
        <w:rPr>
          <w:lang w:eastAsia="en-US"/>
        </w:rPr>
        <w:t xml:space="preserve">a small sample of the multifaceted study approach </w:t>
      </w:r>
      <w:r>
        <w:rPr>
          <w:lang w:eastAsia="en-US"/>
        </w:rPr>
        <w:t xml:space="preserve">and provides an understanding of the </w:t>
      </w:r>
      <w:r w:rsidR="00B86A4E">
        <w:rPr>
          <w:lang w:eastAsia="en-US"/>
        </w:rPr>
        <w:t>difficulties</w:t>
      </w:r>
      <w:r w:rsidR="00B86A4E" w:rsidDel="00B86A4E">
        <w:rPr>
          <w:lang w:eastAsia="en-US"/>
        </w:rPr>
        <w:t xml:space="preserve"> </w:t>
      </w:r>
      <w:r>
        <w:rPr>
          <w:lang w:eastAsia="en-US"/>
        </w:rPr>
        <w:t xml:space="preserve">of applying basic transport planning in a complex and challenging environment.  </w:t>
      </w:r>
    </w:p>
    <w:p w:rsidR="00AA472E" w:rsidRDefault="00AA472E" w:rsidP="00AA472E">
      <w:pPr>
        <w:pStyle w:val="SectionHeadingLevel1"/>
        <w:keepNext/>
      </w:pPr>
      <w:r>
        <w:t>Acknowledgements</w:t>
      </w:r>
    </w:p>
    <w:p w:rsidR="00AA472E" w:rsidRPr="00AA472E" w:rsidRDefault="000310BF" w:rsidP="00AA472E">
      <w:r>
        <w:t xml:space="preserve">The foresight of the Central Land Council in undertaking this study is acknowledged and </w:t>
      </w:r>
      <w:r w:rsidR="00B83C2E">
        <w:t>applauded</w:t>
      </w:r>
      <w:r>
        <w:t xml:space="preserve">.  The opportunity to undertake basic research in such a challenging and unique environment was an enriching experience for the consultant who gained </w:t>
      </w:r>
      <w:r w:rsidR="00B83C2E">
        <w:t>firsthand</w:t>
      </w:r>
      <w:r>
        <w:t xml:space="preserve"> experience of the challenges facing Aboriginal people as they continue to </w:t>
      </w:r>
      <w:r w:rsidR="00B83C2E">
        <w:t xml:space="preserve">manage their land and protect their connection with the land and its sacred sites.  She discovered a new-found respect for the integrity, humour and customs of the traditional owners of the land.  </w:t>
      </w:r>
    </w:p>
    <w:sectPr w:rsidR="00AA472E" w:rsidRPr="00AA472E" w:rsidSect="00BB3AB6">
      <w:type w:val="continuous"/>
      <w:pgSz w:w="11906" w:h="16838" w:code="9"/>
      <w:pgMar w:top="1440" w:right="1440" w:bottom="144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FE5" w:rsidRDefault="00B80FE5" w:rsidP="00F00241">
      <w:r>
        <w:separator/>
      </w:r>
    </w:p>
  </w:endnote>
  <w:endnote w:type="continuationSeparator" w:id="0">
    <w:p w:rsidR="00B80FE5" w:rsidRDefault="00B80FE5" w:rsidP="00F00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908" w:rsidRPr="00B22B24" w:rsidRDefault="000E6908" w:rsidP="00183EF9">
    <w:pPr>
      <w:pStyle w:val="Footer"/>
      <w:jc w:val="right"/>
    </w:pPr>
    <w:r>
      <w:fldChar w:fldCharType="begin"/>
    </w:r>
    <w:r>
      <w:instrText xml:space="preserve"> PAGE   \* MERGEFORMAT </w:instrText>
    </w:r>
    <w:r>
      <w:fldChar w:fldCharType="separate"/>
    </w:r>
    <w:r w:rsidR="005A6297">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908" w:rsidRDefault="000E6908" w:rsidP="00183EF9">
    <w:pPr>
      <w:pStyle w:val="Footer"/>
      <w:jc w:val="right"/>
    </w:pPr>
    <w:r>
      <w:fldChar w:fldCharType="begin"/>
    </w:r>
    <w:r>
      <w:instrText xml:space="preserve"> PAGE   \* MERGEFORMAT </w:instrText>
    </w:r>
    <w:r>
      <w:fldChar w:fldCharType="separate"/>
    </w:r>
    <w:r w:rsidR="005A6297">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908" w:rsidRDefault="000E6908">
    <w:pPr>
      <w:pStyle w:val="Footer"/>
      <w:jc w:val="right"/>
    </w:pPr>
    <w:r>
      <w:fldChar w:fldCharType="begin"/>
    </w:r>
    <w:r>
      <w:instrText xml:space="preserve"> PAGE   \* MERGEFORMAT </w:instrText>
    </w:r>
    <w:r>
      <w:fldChar w:fldCharType="separate"/>
    </w:r>
    <w:r w:rsidR="005A62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FE5" w:rsidRDefault="00B80FE5" w:rsidP="00F00241">
      <w:r>
        <w:separator/>
      </w:r>
    </w:p>
  </w:footnote>
  <w:footnote w:type="continuationSeparator" w:id="0">
    <w:p w:rsidR="00B80FE5" w:rsidRDefault="00B80FE5" w:rsidP="00F00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0DB" w:rsidRPr="00727E34" w:rsidRDefault="00DE10DB" w:rsidP="00DE10DB">
    <w:pPr>
      <w:pStyle w:val="Headerstyle"/>
    </w:pPr>
    <w:r>
      <w:t>Remote transport efficiency – a case study from Central Australia</w:t>
    </w:r>
  </w:p>
  <w:p w:rsidR="000E6908" w:rsidRPr="00DE10DB" w:rsidRDefault="000E6908" w:rsidP="00DE10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0DB" w:rsidRDefault="00DE10DB" w:rsidP="00DE10DB">
    <w:pPr>
      <w:pStyle w:val="Headerstyle"/>
    </w:pPr>
    <w:r w:rsidRPr="00F5019A">
      <w:t>ATRF 201</w:t>
    </w:r>
    <w:r>
      <w:t>6</w:t>
    </w:r>
    <w:r w:rsidRPr="00F5019A">
      <w:t xml:space="preserve"> Proceedings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908" w:rsidRPr="00F5019A" w:rsidRDefault="000E6908" w:rsidP="00F00241">
    <w:pPr>
      <w:pStyle w:val="Headerstyle"/>
    </w:pPr>
    <w:r w:rsidRPr="00F5019A">
      <w:t>Australasian Transport Research Forum 201</w:t>
    </w:r>
    <w:r>
      <w:t>6</w:t>
    </w:r>
    <w:r w:rsidRPr="00F5019A">
      <w:t xml:space="preserve"> Proceedings</w:t>
    </w:r>
  </w:p>
  <w:p w:rsidR="000E6908" w:rsidRPr="00F5019A" w:rsidRDefault="000E6908" w:rsidP="00F00241">
    <w:pPr>
      <w:pStyle w:val="Headerstyle"/>
    </w:pPr>
    <w:r>
      <w:t>16 – 18 November 2016</w:t>
    </w:r>
    <w:r w:rsidRPr="00F5019A">
      <w:t xml:space="preserve">, </w:t>
    </w:r>
    <w:r>
      <w:t>Melbourne</w:t>
    </w:r>
    <w:r w:rsidRPr="00F5019A">
      <w:t>, Australia</w:t>
    </w:r>
  </w:p>
  <w:p w:rsidR="000E6908" w:rsidRDefault="000E6908" w:rsidP="00183EF9">
    <w:pPr>
      <w:pStyle w:val="Headerstyle"/>
    </w:pPr>
    <w:r w:rsidRPr="00F5019A">
      <w:t xml:space="preserve">Publication website: </w:t>
    </w:r>
    <w:hyperlink r:id="rId1" w:history="1">
      <w:r w:rsidRPr="00AF6905">
        <w:rPr>
          <w:rStyle w:val="Hyperlink"/>
        </w:rPr>
        <w:t>http://www.atrf.info</w:t>
      </w:r>
    </w:hyperlink>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0DB" w:rsidRPr="00727E34" w:rsidRDefault="00DE10DB" w:rsidP="00DE10DB">
    <w:pPr>
      <w:pStyle w:val="Headerstyle"/>
    </w:pPr>
    <w:r>
      <w:t>Remote transport efficiency – a case study from Central Australia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A73" w:rsidRPr="00727E34" w:rsidRDefault="00E37A73" w:rsidP="00E37A73">
    <w:pPr>
      <w:pStyle w:val="Headerstyle"/>
    </w:pPr>
    <w:r>
      <w:t>Remote transport efficiency – a case study from Central Australia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4BD4"/>
    <w:multiLevelType w:val="hybridMultilevel"/>
    <w:tmpl w:val="98B28F5E"/>
    <w:lvl w:ilvl="0" w:tplc="0C090001">
      <w:start w:val="1"/>
      <w:numFmt w:val="bullet"/>
      <w:lvlText w:val=""/>
      <w:lvlJc w:val="left"/>
      <w:pPr>
        <w:ind w:left="851" w:hanging="360"/>
      </w:pPr>
      <w:rPr>
        <w:rFonts w:ascii="Symbol" w:hAnsi="Symbol" w:hint="default"/>
      </w:rPr>
    </w:lvl>
    <w:lvl w:ilvl="1" w:tplc="0C090003" w:tentative="1">
      <w:start w:val="1"/>
      <w:numFmt w:val="bullet"/>
      <w:lvlText w:val="o"/>
      <w:lvlJc w:val="left"/>
      <w:pPr>
        <w:ind w:left="1571" w:hanging="360"/>
      </w:pPr>
      <w:rPr>
        <w:rFonts w:ascii="Courier New" w:hAnsi="Courier New" w:cs="Arial" w:hint="default"/>
      </w:rPr>
    </w:lvl>
    <w:lvl w:ilvl="2" w:tplc="0C090005" w:tentative="1">
      <w:start w:val="1"/>
      <w:numFmt w:val="bullet"/>
      <w:lvlText w:val=""/>
      <w:lvlJc w:val="left"/>
      <w:pPr>
        <w:ind w:left="2291" w:hanging="360"/>
      </w:pPr>
      <w:rPr>
        <w:rFonts w:ascii="Wingdings" w:hAnsi="Wingdings" w:hint="default"/>
      </w:rPr>
    </w:lvl>
    <w:lvl w:ilvl="3" w:tplc="0C090001" w:tentative="1">
      <w:start w:val="1"/>
      <w:numFmt w:val="bullet"/>
      <w:lvlText w:val=""/>
      <w:lvlJc w:val="left"/>
      <w:pPr>
        <w:ind w:left="3011" w:hanging="360"/>
      </w:pPr>
      <w:rPr>
        <w:rFonts w:ascii="Symbol" w:hAnsi="Symbol" w:hint="default"/>
      </w:rPr>
    </w:lvl>
    <w:lvl w:ilvl="4" w:tplc="0C090003" w:tentative="1">
      <w:start w:val="1"/>
      <w:numFmt w:val="bullet"/>
      <w:lvlText w:val="o"/>
      <w:lvlJc w:val="left"/>
      <w:pPr>
        <w:ind w:left="3731" w:hanging="360"/>
      </w:pPr>
      <w:rPr>
        <w:rFonts w:ascii="Courier New" w:hAnsi="Courier New" w:cs="Arial" w:hint="default"/>
      </w:rPr>
    </w:lvl>
    <w:lvl w:ilvl="5" w:tplc="0C090005" w:tentative="1">
      <w:start w:val="1"/>
      <w:numFmt w:val="bullet"/>
      <w:lvlText w:val=""/>
      <w:lvlJc w:val="left"/>
      <w:pPr>
        <w:ind w:left="4451" w:hanging="360"/>
      </w:pPr>
      <w:rPr>
        <w:rFonts w:ascii="Wingdings" w:hAnsi="Wingdings" w:hint="default"/>
      </w:rPr>
    </w:lvl>
    <w:lvl w:ilvl="6" w:tplc="0C090001" w:tentative="1">
      <w:start w:val="1"/>
      <w:numFmt w:val="bullet"/>
      <w:lvlText w:val=""/>
      <w:lvlJc w:val="left"/>
      <w:pPr>
        <w:ind w:left="5171" w:hanging="360"/>
      </w:pPr>
      <w:rPr>
        <w:rFonts w:ascii="Symbol" w:hAnsi="Symbol" w:hint="default"/>
      </w:rPr>
    </w:lvl>
    <w:lvl w:ilvl="7" w:tplc="0C090003" w:tentative="1">
      <w:start w:val="1"/>
      <w:numFmt w:val="bullet"/>
      <w:lvlText w:val="o"/>
      <w:lvlJc w:val="left"/>
      <w:pPr>
        <w:ind w:left="5891" w:hanging="360"/>
      </w:pPr>
      <w:rPr>
        <w:rFonts w:ascii="Courier New" w:hAnsi="Courier New" w:cs="Arial" w:hint="default"/>
      </w:rPr>
    </w:lvl>
    <w:lvl w:ilvl="8" w:tplc="0C090005" w:tentative="1">
      <w:start w:val="1"/>
      <w:numFmt w:val="bullet"/>
      <w:lvlText w:val=""/>
      <w:lvlJc w:val="left"/>
      <w:pPr>
        <w:ind w:left="6611" w:hanging="360"/>
      </w:pPr>
      <w:rPr>
        <w:rFonts w:ascii="Wingdings" w:hAnsi="Wingdings" w:hint="default"/>
      </w:rPr>
    </w:lvl>
  </w:abstractNum>
  <w:abstractNum w:abstractNumId="1" w15:restartNumberingAfterBreak="0">
    <w:nsid w:val="02C02461"/>
    <w:multiLevelType w:val="hybridMultilevel"/>
    <w:tmpl w:val="CC7AF306"/>
    <w:lvl w:ilvl="0" w:tplc="277C3BB4">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A678E7"/>
    <w:multiLevelType w:val="hybridMultilevel"/>
    <w:tmpl w:val="35988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EE1BBD"/>
    <w:multiLevelType w:val="hybridMultilevel"/>
    <w:tmpl w:val="5D420CD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7555A8"/>
    <w:multiLevelType w:val="hybridMultilevel"/>
    <w:tmpl w:val="CD70D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3344D4"/>
    <w:multiLevelType w:val="hybridMultilevel"/>
    <w:tmpl w:val="21D652DC"/>
    <w:lvl w:ilvl="0" w:tplc="759078DC">
      <w:start w:val="1"/>
      <w:numFmt w:val="decimal"/>
      <w:lvlText w:val="Heading level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37153C"/>
    <w:multiLevelType w:val="multilevel"/>
    <w:tmpl w:val="E71A79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6B0ADE"/>
    <w:multiLevelType w:val="hybridMultilevel"/>
    <w:tmpl w:val="50068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FB26E3"/>
    <w:multiLevelType w:val="hybridMultilevel"/>
    <w:tmpl w:val="F864D4D6"/>
    <w:lvl w:ilvl="0" w:tplc="277C3BB4">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6B44A5"/>
    <w:multiLevelType w:val="hybridMultilevel"/>
    <w:tmpl w:val="5A3297A8"/>
    <w:lvl w:ilvl="0" w:tplc="277C3BB4">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D311EE"/>
    <w:multiLevelType w:val="hybridMultilevel"/>
    <w:tmpl w:val="FD4610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404337"/>
    <w:multiLevelType w:val="hybridMultilevel"/>
    <w:tmpl w:val="B7A24D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60691D"/>
    <w:multiLevelType w:val="hybridMultilevel"/>
    <w:tmpl w:val="7E9E1B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49439D"/>
    <w:multiLevelType w:val="hybridMultilevel"/>
    <w:tmpl w:val="A2180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011CA0"/>
    <w:multiLevelType w:val="hybridMultilevel"/>
    <w:tmpl w:val="98F2F13E"/>
    <w:lvl w:ilvl="0" w:tplc="277C3BB4">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65642B"/>
    <w:multiLevelType w:val="hybridMultilevel"/>
    <w:tmpl w:val="1E02A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9C545B"/>
    <w:multiLevelType w:val="multilevel"/>
    <w:tmpl w:val="BA9C6AB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ECA7960"/>
    <w:multiLevelType w:val="hybridMultilevel"/>
    <w:tmpl w:val="67B4E48E"/>
    <w:lvl w:ilvl="0" w:tplc="277C3BB4">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241606"/>
    <w:multiLevelType w:val="hybridMultilevel"/>
    <w:tmpl w:val="2D321DE4"/>
    <w:lvl w:ilvl="0" w:tplc="0C090001">
      <w:start w:val="1"/>
      <w:numFmt w:val="bullet"/>
      <w:pStyle w:val="BulletL1"/>
      <w:lvlText w:val=""/>
      <w:lvlJc w:val="left"/>
      <w:pPr>
        <w:ind w:left="720" w:hanging="360"/>
      </w:pPr>
      <w:rPr>
        <w:rFonts w:ascii="Symbol" w:hAnsi="Symbol" w:hint="default"/>
      </w:rPr>
    </w:lvl>
    <w:lvl w:ilvl="1" w:tplc="13A85432">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E91CEC"/>
    <w:multiLevelType w:val="hybridMultilevel"/>
    <w:tmpl w:val="FB7422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C297816"/>
    <w:multiLevelType w:val="hybridMultilevel"/>
    <w:tmpl w:val="8048AF56"/>
    <w:lvl w:ilvl="0" w:tplc="0C09000F">
      <w:start w:val="1"/>
      <w:numFmt w:val="decimal"/>
      <w:lvlText w:val="%1."/>
      <w:lvlJc w:val="left"/>
      <w:pPr>
        <w:ind w:left="851" w:hanging="360"/>
      </w:pPr>
    </w:lvl>
    <w:lvl w:ilvl="1" w:tplc="0C090019" w:tentative="1">
      <w:start w:val="1"/>
      <w:numFmt w:val="lowerLetter"/>
      <w:lvlText w:val="%2."/>
      <w:lvlJc w:val="left"/>
      <w:pPr>
        <w:ind w:left="1571" w:hanging="360"/>
      </w:pPr>
    </w:lvl>
    <w:lvl w:ilvl="2" w:tplc="0C09001B" w:tentative="1">
      <w:start w:val="1"/>
      <w:numFmt w:val="lowerRoman"/>
      <w:lvlText w:val="%3."/>
      <w:lvlJc w:val="right"/>
      <w:pPr>
        <w:ind w:left="2291" w:hanging="180"/>
      </w:pPr>
    </w:lvl>
    <w:lvl w:ilvl="3" w:tplc="0C09000F" w:tentative="1">
      <w:start w:val="1"/>
      <w:numFmt w:val="decimal"/>
      <w:lvlText w:val="%4."/>
      <w:lvlJc w:val="left"/>
      <w:pPr>
        <w:ind w:left="3011" w:hanging="360"/>
      </w:pPr>
    </w:lvl>
    <w:lvl w:ilvl="4" w:tplc="0C090019" w:tentative="1">
      <w:start w:val="1"/>
      <w:numFmt w:val="lowerLetter"/>
      <w:lvlText w:val="%5."/>
      <w:lvlJc w:val="left"/>
      <w:pPr>
        <w:ind w:left="3731" w:hanging="360"/>
      </w:pPr>
    </w:lvl>
    <w:lvl w:ilvl="5" w:tplc="0C09001B" w:tentative="1">
      <w:start w:val="1"/>
      <w:numFmt w:val="lowerRoman"/>
      <w:lvlText w:val="%6."/>
      <w:lvlJc w:val="right"/>
      <w:pPr>
        <w:ind w:left="4451" w:hanging="180"/>
      </w:pPr>
    </w:lvl>
    <w:lvl w:ilvl="6" w:tplc="0C09000F" w:tentative="1">
      <w:start w:val="1"/>
      <w:numFmt w:val="decimal"/>
      <w:lvlText w:val="%7."/>
      <w:lvlJc w:val="left"/>
      <w:pPr>
        <w:ind w:left="5171" w:hanging="360"/>
      </w:pPr>
    </w:lvl>
    <w:lvl w:ilvl="7" w:tplc="0C090019" w:tentative="1">
      <w:start w:val="1"/>
      <w:numFmt w:val="lowerLetter"/>
      <w:lvlText w:val="%8."/>
      <w:lvlJc w:val="left"/>
      <w:pPr>
        <w:ind w:left="5891" w:hanging="360"/>
      </w:pPr>
    </w:lvl>
    <w:lvl w:ilvl="8" w:tplc="0C09001B" w:tentative="1">
      <w:start w:val="1"/>
      <w:numFmt w:val="lowerRoman"/>
      <w:lvlText w:val="%9."/>
      <w:lvlJc w:val="right"/>
      <w:pPr>
        <w:ind w:left="6611" w:hanging="180"/>
      </w:pPr>
    </w:lvl>
  </w:abstractNum>
  <w:abstractNum w:abstractNumId="21" w15:restartNumberingAfterBreak="0">
    <w:nsid w:val="4D487889"/>
    <w:multiLevelType w:val="multilevel"/>
    <w:tmpl w:val="EE7239B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80C7BFB"/>
    <w:multiLevelType w:val="hybridMultilevel"/>
    <w:tmpl w:val="D554AA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9E32340"/>
    <w:multiLevelType w:val="hybridMultilevel"/>
    <w:tmpl w:val="0EF29592"/>
    <w:lvl w:ilvl="0" w:tplc="277C3BB4">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441DF5"/>
    <w:multiLevelType w:val="hybridMultilevel"/>
    <w:tmpl w:val="E6E21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AB60F6"/>
    <w:multiLevelType w:val="hybridMultilevel"/>
    <w:tmpl w:val="5CFCB9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AF05176"/>
    <w:multiLevelType w:val="hybridMultilevel"/>
    <w:tmpl w:val="BF0A8324"/>
    <w:lvl w:ilvl="0" w:tplc="277C3BB4">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8924F1"/>
    <w:multiLevelType w:val="hybridMultilevel"/>
    <w:tmpl w:val="F9D87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D74A79"/>
    <w:multiLevelType w:val="hybridMultilevel"/>
    <w:tmpl w:val="7DBE8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9F1E31"/>
    <w:multiLevelType w:val="multilevel"/>
    <w:tmpl w:val="C9900F6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C9E1BFB"/>
    <w:multiLevelType w:val="multilevel"/>
    <w:tmpl w:val="4798171E"/>
    <w:lvl w:ilvl="0">
      <w:start w:val="1"/>
      <w:numFmt w:val="decimal"/>
      <w:lvlText w:val="%1."/>
      <w:lvlJc w:val="left"/>
      <w:pPr>
        <w:ind w:left="548" w:hanging="54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1"/>
  </w:num>
  <w:num w:numId="2">
    <w:abstractNumId w:val="19"/>
  </w:num>
  <w:num w:numId="3">
    <w:abstractNumId w:val="6"/>
  </w:num>
  <w:num w:numId="4">
    <w:abstractNumId w:val="16"/>
  </w:num>
  <w:num w:numId="5">
    <w:abstractNumId w:val="21"/>
  </w:num>
  <w:num w:numId="6">
    <w:abstractNumId w:val="25"/>
  </w:num>
  <w:num w:numId="7">
    <w:abstractNumId w:val="0"/>
  </w:num>
  <w:num w:numId="8">
    <w:abstractNumId w:val="2"/>
  </w:num>
  <w:num w:numId="9">
    <w:abstractNumId w:val="12"/>
  </w:num>
  <w:num w:numId="10">
    <w:abstractNumId w:val="22"/>
  </w:num>
  <w:num w:numId="11">
    <w:abstractNumId w:val="3"/>
  </w:num>
  <w:num w:numId="12">
    <w:abstractNumId w:val="28"/>
  </w:num>
  <w:num w:numId="13">
    <w:abstractNumId w:val="20"/>
  </w:num>
  <w:num w:numId="14">
    <w:abstractNumId w:val="4"/>
  </w:num>
  <w:num w:numId="15">
    <w:abstractNumId w:val="10"/>
  </w:num>
  <w:num w:numId="16">
    <w:abstractNumId w:val="13"/>
  </w:num>
  <w:num w:numId="17">
    <w:abstractNumId w:val="29"/>
  </w:num>
  <w:num w:numId="18">
    <w:abstractNumId w:val="5"/>
  </w:num>
  <w:num w:numId="19">
    <w:abstractNumId w:val="27"/>
  </w:num>
  <w:num w:numId="20">
    <w:abstractNumId w:val="7"/>
  </w:num>
  <w:num w:numId="21">
    <w:abstractNumId w:val="8"/>
  </w:num>
  <w:num w:numId="22">
    <w:abstractNumId w:val="1"/>
  </w:num>
  <w:num w:numId="23">
    <w:abstractNumId w:val="9"/>
  </w:num>
  <w:num w:numId="24">
    <w:abstractNumId w:val="23"/>
  </w:num>
  <w:num w:numId="25">
    <w:abstractNumId w:val="14"/>
  </w:num>
  <w:num w:numId="26">
    <w:abstractNumId w:val="17"/>
  </w:num>
  <w:num w:numId="27">
    <w:abstractNumId w:val="30"/>
  </w:num>
  <w:num w:numId="28">
    <w:abstractNumId w:val="26"/>
  </w:num>
  <w:num w:numId="29">
    <w:abstractNumId w:val="15"/>
  </w:num>
  <w:num w:numId="30">
    <w:abstractNumId w:val="24"/>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TrackMoves/>
  <w:doNotTrackFormatting/>
  <w:defaultTabStop w:val="720"/>
  <w:evenAndOddHeaders/>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DB0"/>
    <w:rsid w:val="000310BF"/>
    <w:rsid w:val="000340DF"/>
    <w:rsid w:val="00036FF5"/>
    <w:rsid w:val="00055124"/>
    <w:rsid w:val="00065EE6"/>
    <w:rsid w:val="000673F6"/>
    <w:rsid w:val="000B3575"/>
    <w:rsid w:val="000B64F4"/>
    <w:rsid w:val="000C1BBD"/>
    <w:rsid w:val="000D21F6"/>
    <w:rsid w:val="000E037E"/>
    <w:rsid w:val="000E6908"/>
    <w:rsid w:val="001024E4"/>
    <w:rsid w:val="0011744B"/>
    <w:rsid w:val="00117651"/>
    <w:rsid w:val="00127FFE"/>
    <w:rsid w:val="001613D7"/>
    <w:rsid w:val="001615C6"/>
    <w:rsid w:val="00167727"/>
    <w:rsid w:val="001711AB"/>
    <w:rsid w:val="00177514"/>
    <w:rsid w:val="00183EF9"/>
    <w:rsid w:val="001A5FC9"/>
    <w:rsid w:val="001A7C72"/>
    <w:rsid w:val="001C46BE"/>
    <w:rsid w:val="001E22B7"/>
    <w:rsid w:val="002140FA"/>
    <w:rsid w:val="0021584C"/>
    <w:rsid w:val="002355D0"/>
    <w:rsid w:val="00251E87"/>
    <w:rsid w:val="00253D3B"/>
    <w:rsid w:val="0028361D"/>
    <w:rsid w:val="002960C0"/>
    <w:rsid w:val="002D1A84"/>
    <w:rsid w:val="00314DD8"/>
    <w:rsid w:val="00315413"/>
    <w:rsid w:val="003155DF"/>
    <w:rsid w:val="003203A8"/>
    <w:rsid w:val="003246F0"/>
    <w:rsid w:val="00340531"/>
    <w:rsid w:val="00342935"/>
    <w:rsid w:val="0039774B"/>
    <w:rsid w:val="003A6627"/>
    <w:rsid w:val="003A72F7"/>
    <w:rsid w:val="003B0237"/>
    <w:rsid w:val="003B0C83"/>
    <w:rsid w:val="003C4BB3"/>
    <w:rsid w:val="003C69F7"/>
    <w:rsid w:val="003D301D"/>
    <w:rsid w:val="003F6800"/>
    <w:rsid w:val="00401B61"/>
    <w:rsid w:val="004022B4"/>
    <w:rsid w:val="004124DC"/>
    <w:rsid w:val="0041683D"/>
    <w:rsid w:val="00432D48"/>
    <w:rsid w:val="00492E41"/>
    <w:rsid w:val="004E3ACE"/>
    <w:rsid w:val="00506060"/>
    <w:rsid w:val="005327E9"/>
    <w:rsid w:val="005465BD"/>
    <w:rsid w:val="00557C6C"/>
    <w:rsid w:val="005A0BDB"/>
    <w:rsid w:val="005A2189"/>
    <w:rsid w:val="005A3662"/>
    <w:rsid w:val="005A6297"/>
    <w:rsid w:val="005C3F36"/>
    <w:rsid w:val="005E6C02"/>
    <w:rsid w:val="005F75E6"/>
    <w:rsid w:val="00606A4A"/>
    <w:rsid w:val="0068179A"/>
    <w:rsid w:val="006843CF"/>
    <w:rsid w:val="0069118B"/>
    <w:rsid w:val="00697095"/>
    <w:rsid w:val="00697AC7"/>
    <w:rsid w:val="006F4C64"/>
    <w:rsid w:val="007013A3"/>
    <w:rsid w:val="00751E79"/>
    <w:rsid w:val="00763DC9"/>
    <w:rsid w:val="00776126"/>
    <w:rsid w:val="007C0ACA"/>
    <w:rsid w:val="007C2E18"/>
    <w:rsid w:val="007C6D9B"/>
    <w:rsid w:val="007F64E8"/>
    <w:rsid w:val="007F752C"/>
    <w:rsid w:val="00803537"/>
    <w:rsid w:val="0081751A"/>
    <w:rsid w:val="00850C47"/>
    <w:rsid w:val="00850DB0"/>
    <w:rsid w:val="00853286"/>
    <w:rsid w:val="00856BFF"/>
    <w:rsid w:val="00875FB8"/>
    <w:rsid w:val="008836C7"/>
    <w:rsid w:val="00891D8A"/>
    <w:rsid w:val="008C42B6"/>
    <w:rsid w:val="008D2833"/>
    <w:rsid w:val="008D3BC7"/>
    <w:rsid w:val="00912835"/>
    <w:rsid w:val="00913882"/>
    <w:rsid w:val="00962811"/>
    <w:rsid w:val="00964550"/>
    <w:rsid w:val="00997BA4"/>
    <w:rsid w:val="009B7266"/>
    <w:rsid w:val="009C1791"/>
    <w:rsid w:val="009E07FC"/>
    <w:rsid w:val="009F0A77"/>
    <w:rsid w:val="009F0F8C"/>
    <w:rsid w:val="00A11CF4"/>
    <w:rsid w:val="00A427FE"/>
    <w:rsid w:val="00A5554D"/>
    <w:rsid w:val="00A67925"/>
    <w:rsid w:val="00A70E2F"/>
    <w:rsid w:val="00A902AF"/>
    <w:rsid w:val="00A9585A"/>
    <w:rsid w:val="00AA472E"/>
    <w:rsid w:val="00AB367A"/>
    <w:rsid w:val="00B14B00"/>
    <w:rsid w:val="00B41177"/>
    <w:rsid w:val="00B41439"/>
    <w:rsid w:val="00B72326"/>
    <w:rsid w:val="00B80FE5"/>
    <w:rsid w:val="00B816D4"/>
    <w:rsid w:val="00B83C2E"/>
    <w:rsid w:val="00B86A4E"/>
    <w:rsid w:val="00BB3AB6"/>
    <w:rsid w:val="00BE1E27"/>
    <w:rsid w:val="00BF2853"/>
    <w:rsid w:val="00C01D94"/>
    <w:rsid w:val="00C10EDC"/>
    <w:rsid w:val="00C21069"/>
    <w:rsid w:val="00C23B00"/>
    <w:rsid w:val="00C32DE2"/>
    <w:rsid w:val="00C346AB"/>
    <w:rsid w:val="00C371C7"/>
    <w:rsid w:val="00C375E2"/>
    <w:rsid w:val="00C37FAD"/>
    <w:rsid w:val="00C458B4"/>
    <w:rsid w:val="00C640BB"/>
    <w:rsid w:val="00C92244"/>
    <w:rsid w:val="00CB4713"/>
    <w:rsid w:val="00CC0C8A"/>
    <w:rsid w:val="00CC2ADC"/>
    <w:rsid w:val="00CD5D10"/>
    <w:rsid w:val="00CE12CB"/>
    <w:rsid w:val="00CE52F3"/>
    <w:rsid w:val="00CF060F"/>
    <w:rsid w:val="00D00ED4"/>
    <w:rsid w:val="00D27E09"/>
    <w:rsid w:val="00D336F8"/>
    <w:rsid w:val="00D42340"/>
    <w:rsid w:val="00D602A2"/>
    <w:rsid w:val="00DA3320"/>
    <w:rsid w:val="00DB1C51"/>
    <w:rsid w:val="00DE10DB"/>
    <w:rsid w:val="00DF4226"/>
    <w:rsid w:val="00E04EBE"/>
    <w:rsid w:val="00E078B9"/>
    <w:rsid w:val="00E33522"/>
    <w:rsid w:val="00E37A73"/>
    <w:rsid w:val="00E42959"/>
    <w:rsid w:val="00E534FF"/>
    <w:rsid w:val="00E81972"/>
    <w:rsid w:val="00EB065C"/>
    <w:rsid w:val="00EC2B3D"/>
    <w:rsid w:val="00EE2FCF"/>
    <w:rsid w:val="00EE5BD3"/>
    <w:rsid w:val="00F00241"/>
    <w:rsid w:val="00F06EEC"/>
    <w:rsid w:val="00F10AA4"/>
    <w:rsid w:val="00F23E66"/>
    <w:rsid w:val="00F2676F"/>
    <w:rsid w:val="00F32D74"/>
    <w:rsid w:val="00F61378"/>
    <w:rsid w:val="00F62D3C"/>
    <w:rsid w:val="00F672F6"/>
    <w:rsid w:val="00F921AB"/>
    <w:rsid w:val="00F956BC"/>
    <w:rsid w:val="00FA7F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DF3F409-091A-4BBA-86F4-E2D54287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link w:val="NormalChar"/>
    <w:qFormat/>
    <w:rsid w:val="00557C6C"/>
    <w:pPr>
      <w:spacing w:after="140"/>
      <w:jc w:val="both"/>
    </w:pPr>
    <w:rPr>
      <w:rFonts w:ascii="Arial" w:hAnsi="Arial"/>
      <w:sz w:val="22"/>
    </w:rPr>
  </w:style>
  <w:style w:type="paragraph" w:styleId="Heading1">
    <w:name w:val="heading 1"/>
    <w:basedOn w:val="Normal"/>
    <w:next w:val="Normal"/>
    <w:link w:val="Heading1Char"/>
    <w:uiPriority w:val="9"/>
    <w:qFormat/>
    <w:rsid w:val="0031219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6825B1"/>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0835"/>
    <w:pPr>
      <w:tabs>
        <w:tab w:val="center" w:pos="4513"/>
        <w:tab w:val="right" w:pos="9026"/>
      </w:tabs>
      <w:spacing w:after="0"/>
      <w:jc w:val="center"/>
    </w:pPr>
  </w:style>
  <w:style w:type="character" w:customStyle="1" w:styleId="HeaderChar">
    <w:name w:val="Header Char"/>
    <w:link w:val="Header"/>
    <w:uiPriority w:val="99"/>
    <w:rsid w:val="00D90835"/>
    <w:rPr>
      <w:rFonts w:ascii="Arial" w:hAnsi="Arial" w:cs="Arial"/>
    </w:rPr>
  </w:style>
  <w:style w:type="paragraph" w:styleId="Footer">
    <w:name w:val="footer"/>
    <w:basedOn w:val="Normal"/>
    <w:link w:val="FooterChar"/>
    <w:uiPriority w:val="99"/>
    <w:unhideWhenUsed/>
    <w:rsid w:val="00C96E6F"/>
    <w:pPr>
      <w:tabs>
        <w:tab w:val="center" w:pos="4513"/>
        <w:tab w:val="right" w:pos="9026"/>
      </w:tabs>
      <w:spacing w:after="0"/>
    </w:pPr>
  </w:style>
  <w:style w:type="character" w:customStyle="1" w:styleId="FooterChar">
    <w:name w:val="Footer Char"/>
    <w:basedOn w:val="DefaultParagraphFont"/>
    <w:link w:val="Footer"/>
    <w:uiPriority w:val="99"/>
    <w:rsid w:val="00C96E6F"/>
  </w:style>
  <w:style w:type="paragraph" w:customStyle="1" w:styleId="PublicationTitle">
    <w:name w:val="Publication Title"/>
    <w:basedOn w:val="Normal"/>
    <w:next w:val="AuthorName"/>
    <w:link w:val="PublicationTitleChar"/>
    <w:qFormat/>
    <w:rsid w:val="00844452"/>
    <w:pPr>
      <w:jc w:val="center"/>
    </w:pPr>
    <w:rPr>
      <w:b/>
      <w:sz w:val="40"/>
      <w:szCs w:val="32"/>
    </w:rPr>
  </w:style>
  <w:style w:type="paragraph" w:customStyle="1" w:styleId="AuthorName">
    <w:name w:val="Author Name"/>
    <w:basedOn w:val="Normal"/>
    <w:next w:val="AuthorAddress"/>
    <w:link w:val="AuthorNameChar"/>
    <w:qFormat/>
    <w:rsid w:val="00844452"/>
    <w:pPr>
      <w:jc w:val="center"/>
    </w:pPr>
    <w:rPr>
      <w:szCs w:val="24"/>
    </w:rPr>
  </w:style>
  <w:style w:type="character" w:customStyle="1" w:styleId="PublicationTitleChar">
    <w:name w:val="Publication Title Char"/>
    <w:link w:val="PublicationTitle"/>
    <w:rsid w:val="00844452"/>
    <w:rPr>
      <w:rFonts w:ascii="Arial" w:hAnsi="Arial" w:cs="Arial"/>
      <w:b/>
      <w:sz w:val="40"/>
      <w:szCs w:val="32"/>
      <w:lang w:eastAsia="en-US"/>
    </w:rPr>
  </w:style>
  <w:style w:type="character" w:styleId="Hyperlink">
    <w:name w:val="Hyperlink"/>
    <w:uiPriority w:val="99"/>
    <w:unhideWhenUsed/>
    <w:rsid w:val="00BB53FF"/>
    <w:rPr>
      <w:color w:val="0000FF"/>
      <w:u w:val="single"/>
    </w:rPr>
  </w:style>
  <w:style w:type="character" w:customStyle="1" w:styleId="AuthorNameChar">
    <w:name w:val="Author Name Char"/>
    <w:link w:val="AuthorName"/>
    <w:rsid w:val="00844452"/>
    <w:rPr>
      <w:rFonts w:ascii="Arial" w:hAnsi="Arial" w:cs="Arial"/>
      <w:sz w:val="24"/>
      <w:szCs w:val="24"/>
      <w:lang w:eastAsia="en-US"/>
    </w:rPr>
  </w:style>
  <w:style w:type="paragraph" w:customStyle="1" w:styleId="AuthorAddress">
    <w:name w:val="Author Address"/>
    <w:basedOn w:val="Normal"/>
    <w:link w:val="AuthorAddressChar"/>
    <w:qFormat/>
    <w:rsid w:val="00844452"/>
    <w:pPr>
      <w:jc w:val="center"/>
    </w:pPr>
    <w:rPr>
      <w:sz w:val="20"/>
    </w:rPr>
  </w:style>
  <w:style w:type="paragraph" w:styleId="BalloonText">
    <w:name w:val="Balloon Text"/>
    <w:basedOn w:val="Normal"/>
    <w:link w:val="BalloonTextChar"/>
    <w:uiPriority w:val="99"/>
    <w:semiHidden/>
    <w:unhideWhenUsed/>
    <w:rsid w:val="005374AC"/>
    <w:pPr>
      <w:spacing w:after="0"/>
    </w:pPr>
    <w:rPr>
      <w:rFonts w:ascii="Tahoma" w:hAnsi="Tahoma" w:cs="Tahoma"/>
      <w:sz w:val="16"/>
      <w:szCs w:val="16"/>
    </w:rPr>
  </w:style>
  <w:style w:type="character" w:customStyle="1" w:styleId="AuthorAddressChar">
    <w:name w:val="Author Address Char"/>
    <w:link w:val="AuthorAddress"/>
    <w:rsid w:val="00844452"/>
    <w:rPr>
      <w:rFonts w:ascii="Arial" w:hAnsi="Arial" w:cs="Arial"/>
      <w:lang w:eastAsia="en-US"/>
    </w:rPr>
  </w:style>
  <w:style w:type="character" w:customStyle="1" w:styleId="BalloonTextChar">
    <w:name w:val="Balloon Text Char"/>
    <w:link w:val="BalloonText"/>
    <w:uiPriority w:val="99"/>
    <w:semiHidden/>
    <w:rsid w:val="005374AC"/>
    <w:rPr>
      <w:rFonts w:ascii="Tahoma" w:hAnsi="Tahoma" w:cs="Tahoma"/>
      <w:sz w:val="16"/>
      <w:szCs w:val="16"/>
    </w:rPr>
  </w:style>
  <w:style w:type="paragraph" w:customStyle="1" w:styleId="AbstractTitle">
    <w:name w:val="Abstract Title"/>
    <w:basedOn w:val="Normal"/>
    <w:next w:val="Normal"/>
    <w:link w:val="AbstractTitleChar"/>
    <w:qFormat/>
    <w:rsid w:val="00674BA5"/>
    <w:pPr>
      <w:jc w:val="center"/>
    </w:pPr>
    <w:rPr>
      <w:b/>
      <w:sz w:val="32"/>
      <w:szCs w:val="28"/>
    </w:rPr>
  </w:style>
  <w:style w:type="character" w:customStyle="1" w:styleId="AbstractTitleChar">
    <w:name w:val="Abstract Title Char"/>
    <w:link w:val="AbstractTitle"/>
    <w:rsid w:val="00674BA5"/>
    <w:rPr>
      <w:rFonts w:ascii="Arial" w:hAnsi="Arial" w:cs="Arial"/>
      <w:b/>
      <w:sz w:val="32"/>
      <w:szCs w:val="28"/>
    </w:rPr>
  </w:style>
  <w:style w:type="paragraph" w:customStyle="1" w:styleId="SectionHeadingLevel1">
    <w:name w:val="Section Heading Level 1"/>
    <w:basedOn w:val="AbstractTitle"/>
    <w:next w:val="Normal"/>
    <w:link w:val="SectionHeadingLevel1Char"/>
    <w:qFormat/>
    <w:rsid w:val="00557C6C"/>
    <w:pPr>
      <w:jc w:val="left"/>
    </w:pPr>
  </w:style>
  <w:style w:type="paragraph" w:customStyle="1" w:styleId="Paperbody">
    <w:name w:val="Paper body"/>
    <w:basedOn w:val="AbstractTitle"/>
    <w:link w:val="PaperbodyChar"/>
    <w:rsid w:val="00850DB0"/>
    <w:pPr>
      <w:jc w:val="both"/>
    </w:pPr>
    <w:rPr>
      <w:b w:val="0"/>
      <w:sz w:val="22"/>
      <w:szCs w:val="22"/>
    </w:rPr>
  </w:style>
  <w:style w:type="character" w:customStyle="1" w:styleId="SectionHeadingLevel1Char">
    <w:name w:val="Section Heading Level 1 Char"/>
    <w:link w:val="SectionHeadingLevel1"/>
    <w:rsid w:val="00557C6C"/>
    <w:rPr>
      <w:rFonts w:ascii="Arial" w:hAnsi="Arial" w:cs="Arial"/>
      <w:b/>
      <w:sz w:val="32"/>
      <w:szCs w:val="28"/>
      <w:lang w:eastAsia="en-US"/>
    </w:rPr>
  </w:style>
  <w:style w:type="paragraph" w:customStyle="1" w:styleId="SectionHeadingLevel2">
    <w:name w:val="Section Heading Level 2"/>
    <w:basedOn w:val="Paperbody"/>
    <w:next w:val="Normal"/>
    <w:link w:val="SectionHeadingLevel2Char"/>
    <w:qFormat/>
    <w:rsid w:val="00557C6C"/>
    <w:pPr>
      <w:ind w:left="720" w:hanging="720"/>
      <w:jc w:val="left"/>
    </w:pPr>
    <w:rPr>
      <w:b/>
      <w:sz w:val="28"/>
      <w:szCs w:val="24"/>
    </w:rPr>
  </w:style>
  <w:style w:type="character" w:customStyle="1" w:styleId="PaperbodyChar">
    <w:name w:val="Paper body Char"/>
    <w:link w:val="Paperbody"/>
    <w:rsid w:val="00850DB0"/>
    <w:rPr>
      <w:rFonts w:ascii="Arial" w:hAnsi="Arial" w:cs="Arial"/>
      <w:b/>
      <w:sz w:val="22"/>
      <w:szCs w:val="28"/>
    </w:rPr>
  </w:style>
  <w:style w:type="character" w:customStyle="1" w:styleId="SectionHeadingLevel2Char">
    <w:name w:val="Section Heading Level 2 Char"/>
    <w:link w:val="SectionHeadingLevel2"/>
    <w:rsid w:val="00557C6C"/>
    <w:rPr>
      <w:rFonts w:ascii="Arial" w:hAnsi="Arial" w:cs="Arial"/>
      <w:b/>
      <w:sz w:val="28"/>
      <w:szCs w:val="24"/>
      <w:lang w:eastAsia="en-US"/>
    </w:rPr>
  </w:style>
  <w:style w:type="paragraph" w:customStyle="1" w:styleId="SectionHeadingLevel3">
    <w:name w:val="Section Heading Level 3"/>
    <w:basedOn w:val="Paperbody"/>
    <w:next w:val="Normal"/>
    <w:link w:val="SectionHeadingLevel3Char"/>
    <w:qFormat/>
    <w:rsid w:val="00557C6C"/>
    <w:pPr>
      <w:jc w:val="left"/>
    </w:pPr>
    <w:rPr>
      <w:b/>
      <w:i/>
      <w:sz w:val="24"/>
    </w:rPr>
  </w:style>
  <w:style w:type="character" w:customStyle="1" w:styleId="NormalChar">
    <w:name w:val="Normal Char"/>
    <w:rsid w:val="00557C6C"/>
    <w:rPr>
      <w:rFonts w:ascii="Arial" w:hAnsi="Arial" w:cs="Arial"/>
      <w:b/>
      <w:sz w:val="22"/>
      <w:szCs w:val="28"/>
      <w:lang w:val="en-AU" w:eastAsia="en-AU" w:bidi="ar-SA"/>
    </w:rPr>
  </w:style>
  <w:style w:type="paragraph" w:customStyle="1" w:styleId="ColorfulList-Accent11">
    <w:name w:val="Colorful List - Accent 11"/>
    <w:basedOn w:val="Normal"/>
    <w:uiPriority w:val="34"/>
    <w:qFormat/>
    <w:rsid w:val="00B4239F"/>
    <w:pPr>
      <w:ind w:left="720"/>
      <w:contextualSpacing/>
    </w:pPr>
  </w:style>
  <w:style w:type="character" w:customStyle="1" w:styleId="SectionHeadingLevel3Char">
    <w:name w:val="Section Heading Level 3 Char"/>
    <w:link w:val="SectionHeadingLevel3"/>
    <w:rsid w:val="00557C6C"/>
    <w:rPr>
      <w:rFonts w:ascii="Arial" w:hAnsi="Arial" w:cs="Arial"/>
      <w:b/>
      <w:i/>
      <w:sz w:val="24"/>
      <w:szCs w:val="22"/>
      <w:lang w:eastAsia="en-US"/>
    </w:rPr>
  </w:style>
  <w:style w:type="character" w:customStyle="1" w:styleId="Heading1Char">
    <w:name w:val="Heading 1 Char"/>
    <w:link w:val="Heading1"/>
    <w:uiPriority w:val="9"/>
    <w:rsid w:val="00312191"/>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6825B1"/>
    <w:rPr>
      <w:rFonts w:ascii="Cambria" w:eastAsia="Times New Roman" w:hAnsi="Cambria" w:cs="Times New Roman"/>
      <w:b/>
      <w:bCs/>
      <w:color w:val="4F81BD"/>
      <w:sz w:val="26"/>
      <w:szCs w:val="26"/>
    </w:rPr>
  </w:style>
  <w:style w:type="character" w:styleId="PlaceholderText">
    <w:name w:val="Placeholder Text"/>
    <w:uiPriority w:val="99"/>
    <w:semiHidden/>
    <w:rsid w:val="005F70C1"/>
    <w:rPr>
      <w:color w:val="808080"/>
    </w:rPr>
  </w:style>
  <w:style w:type="paragraph" w:customStyle="1" w:styleId="Captionstyle">
    <w:name w:val="Caption style"/>
    <w:basedOn w:val="Normal"/>
    <w:link w:val="CaptionstyleChar"/>
    <w:qFormat/>
    <w:rsid w:val="0065512D"/>
    <w:pPr>
      <w:jc w:val="left"/>
    </w:pPr>
    <w:rPr>
      <w:b/>
      <w:sz w:val="20"/>
    </w:rPr>
  </w:style>
  <w:style w:type="paragraph" w:styleId="FootnoteText">
    <w:name w:val="footnote text"/>
    <w:basedOn w:val="Normal"/>
    <w:link w:val="FootnoteTextChar"/>
    <w:uiPriority w:val="99"/>
    <w:semiHidden/>
    <w:unhideWhenUsed/>
    <w:rsid w:val="0045207F"/>
    <w:pPr>
      <w:spacing w:after="0"/>
    </w:pPr>
    <w:rPr>
      <w:sz w:val="20"/>
    </w:rPr>
  </w:style>
  <w:style w:type="character" w:customStyle="1" w:styleId="CaptionstyleChar">
    <w:name w:val="Caption style Char"/>
    <w:basedOn w:val="NormalChar"/>
    <w:link w:val="Captionstyle"/>
    <w:rsid w:val="0065512D"/>
    <w:rPr>
      <w:rFonts w:ascii="Arial" w:hAnsi="Arial" w:cs="Arial"/>
      <w:b/>
      <w:sz w:val="22"/>
      <w:szCs w:val="28"/>
      <w:lang w:val="en-AU" w:eastAsia="en-AU" w:bidi="ar-SA"/>
    </w:rPr>
  </w:style>
  <w:style w:type="character" w:customStyle="1" w:styleId="FootnoteTextChar">
    <w:name w:val="Footnote Text Char"/>
    <w:link w:val="FootnoteText"/>
    <w:uiPriority w:val="99"/>
    <w:semiHidden/>
    <w:rsid w:val="0045207F"/>
    <w:rPr>
      <w:rFonts w:ascii="Arial" w:hAnsi="Arial" w:cs="Arial"/>
      <w:sz w:val="20"/>
      <w:szCs w:val="20"/>
    </w:rPr>
  </w:style>
  <w:style w:type="character" w:styleId="FootnoteReference">
    <w:name w:val="footnote reference"/>
    <w:uiPriority w:val="99"/>
    <w:semiHidden/>
    <w:unhideWhenUsed/>
    <w:rsid w:val="0045207F"/>
    <w:rPr>
      <w:vertAlign w:val="superscript"/>
    </w:rPr>
  </w:style>
  <w:style w:type="table" w:styleId="TableGrid">
    <w:name w:val="Table Grid"/>
    <w:basedOn w:val="TableNormal"/>
    <w:uiPriority w:val="1"/>
    <w:rsid w:val="000433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04335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60"/>
    <w:qFormat/>
    <w:rsid w:val="0004335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043352"/>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0"/>
    <w:rsid w:val="0004335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0"/>
    <w:rsid w:val="00043352"/>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
    <w:name w:val="Light List"/>
    <w:basedOn w:val="TableNormal"/>
    <w:uiPriority w:val="61"/>
    <w:rsid w:val="0004335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1"/>
    <w:rsid w:val="0004335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61"/>
    <w:rsid w:val="00043352"/>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61"/>
    <w:rsid w:val="00043352"/>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Headerstyle">
    <w:name w:val="Header style"/>
    <w:basedOn w:val="Header"/>
    <w:link w:val="HeaderstyleChar"/>
    <w:qFormat/>
    <w:rsid w:val="00F5019A"/>
    <w:rPr>
      <w:sz w:val="20"/>
    </w:rPr>
  </w:style>
  <w:style w:type="character" w:styleId="FollowedHyperlink">
    <w:name w:val="FollowedHyperlink"/>
    <w:uiPriority w:val="99"/>
    <w:semiHidden/>
    <w:unhideWhenUsed/>
    <w:rsid w:val="00A427FE"/>
    <w:rPr>
      <w:color w:val="800080"/>
      <w:u w:val="single"/>
    </w:rPr>
  </w:style>
  <w:style w:type="character" w:customStyle="1" w:styleId="HeaderstyleChar">
    <w:name w:val="Header style Char"/>
    <w:link w:val="Headerstyle"/>
    <w:rsid w:val="00F5019A"/>
    <w:rPr>
      <w:rFonts w:ascii="Arial" w:hAnsi="Arial" w:cs="Arial"/>
      <w:lang w:eastAsia="en-US"/>
    </w:rPr>
  </w:style>
  <w:style w:type="character" w:customStyle="1" w:styleId="apple-converted-space">
    <w:name w:val="apple-converted-space"/>
    <w:rsid w:val="00B72326"/>
  </w:style>
  <w:style w:type="character" w:customStyle="1" w:styleId="il">
    <w:name w:val="il"/>
    <w:rsid w:val="00B72326"/>
  </w:style>
  <w:style w:type="paragraph" w:styleId="ListParagraph">
    <w:name w:val="List Paragraph"/>
    <w:basedOn w:val="Normal"/>
    <w:uiPriority w:val="34"/>
    <w:qFormat/>
    <w:rsid w:val="00177514"/>
    <w:pPr>
      <w:ind w:left="720"/>
      <w:contextualSpacing/>
    </w:pPr>
  </w:style>
  <w:style w:type="paragraph" w:styleId="Caption">
    <w:name w:val="caption"/>
    <w:basedOn w:val="Normal"/>
    <w:next w:val="Normal"/>
    <w:link w:val="CaptionChar"/>
    <w:uiPriority w:val="35"/>
    <w:unhideWhenUsed/>
    <w:rsid w:val="00D00ED4"/>
    <w:pPr>
      <w:keepNext/>
      <w:spacing w:after="200" w:line="276" w:lineRule="auto"/>
      <w:jc w:val="left"/>
    </w:pPr>
    <w:rPr>
      <w:rFonts w:asciiTheme="minorHAnsi" w:eastAsiaTheme="minorHAnsi" w:hAnsiTheme="minorHAnsi" w:cstheme="minorHAnsi"/>
      <w:b/>
      <w:bCs/>
      <w:color w:val="454545" w:themeColor="text2"/>
      <w:spacing w:val="10"/>
      <w:sz w:val="20"/>
      <w:lang w:eastAsia="ja-JP"/>
    </w:rPr>
  </w:style>
  <w:style w:type="paragraph" w:customStyle="1" w:styleId="FigureHeading">
    <w:name w:val="Figure Heading"/>
    <w:basedOn w:val="Caption"/>
    <w:link w:val="FigureHeadingChar"/>
    <w:qFormat/>
    <w:rsid w:val="00D00ED4"/>
    <w:pPr>
      <w:tabs>
        <w:tab w:val="left" w:pos="1701"/>
      </w:tabs>
      <w:spacing w:before="100" w:beforeAutospacing="1" w:after="100" w:afterAutospacing="1" w:line="240" w:lineRule="auto"/>
    </w:pPr>
  </w:style>
  <w:style w:type="character" w:customStyle="1" w:styleId="CaptionChar">
    <w:name w:val="Caption Char"/>
    <w:basedOn w:val="DefaultParagraphFont"/>
    <w:link w:val="Caption"/>
    <w:uiPriority w:val="35"/>
    <w:rsid w:val="00D00ED4"/>
    <w:rPr>
      <w:rFonts w:asciiTheme="minorHAnsi" w:eastAsiaTheme="minorHAnsi" w:hAnsiTheme="minorHAnsi" w:cstheme="minorHAnsi"/>
      <w:b/>
      <w:bCs/>
      <w:color w:val="454545" w:themeColor="text2"/>
      <w:spacing w:val="10"/>
      <w:lang w:eastAsia="ja-JP"/>
    </w:rPr>
  </w:style>
  <w:style w:type="character" w:customStyle="1" w:styleId="FigureHeadingChar">
    <w:name w:val="Figure Heading Char"/>
    <w:basedOn w:val="CaptionChar"/>
    <w:link w:val="FigureHeading"/>
    <w:rsid w:val="00D00ED4"/>
    <w:rPr>
      <w:rFonts w:asciiTheme="minorHAnsi" w:eastAsiaTheme="minorHAnsi" w:hAnsiTheme="minorHAnsi" w:cstheme="minorHAnsi"/>
      <w:b/>
      <w:bCs/>
      <w:color w:val="454545" w:themeColor="text2"/>
      <w:spacing w:val="10"/>
      <w:lang w:eastAsia="ja-JP"/>
    </w:rPr>
  </w:style>
  <w:style w:type="paragraph" w:customStyle="1" w:styleId="BulletL1">
    <w:name w:val="Bullet L1"/>
    <w:basedOn w:val="ListParagraph"/>
    <w:link w:val="BulletL1Char"/>
    <w:qFormat/>
    <w:rsid w:val="003246F0"/>
    <w:pPr>
      <w:keepLines/>
      <w:numPr>
        <w:numId w:val="31"/>
      </w:numPr>
      <w:spacing w:after="200" w:line="276" w:lineRule="auto"/>
      <w:contextualSpacing w:val="0"/>
      <w:jc w:val="left"/>
    </w:pPr>
    <w:rPr>
      <w:rFonts w:asciiTheme="minorHAnsi" w:eastAsiaTheme="minorHAnsi" w:hAnsiTheme="minorHAnsi" w:cstheme="minorHAnsi"/>
      <w:color w:val="333333" w:themeColor="text2" w:themeShade="BF"/>
      <w:sz w:val="20"/>
      <w:lang w:eastAsia="ja-JP"/>
    </w:rPr>
  </w:style>
  <w:style w:type="character" w:customStyle="1" w:styleId="BulletL1Char">
    <w:name w:val="Bullet L1 Char"/>
    <w:basedOn w:val="DefaultParagraphFont"/>
    <w:link w:val="BulletL1"/>
    <w:rsid w:val="003246F0"/>
    <w:rPr>
      <w:rFonts w:asciiTheme="minorHAnsi" w:eastAsiaTheme="minorHAnsi" w:hAnsiTheme="minorHAnsi" w:cstheme="minorHAnsi"/>
      <w:color w:val="333333" w:themeColor="text2" w:themeShade="BF"/>
      <w:lang w:eastAsia="ja-JP"/>
    </w:rPr>
  </w:style>
  <w:style w:type="paragraph" w:customStyle="1" w:styleId="TableText">
    <w:name w:val="Table Text"/>
    <w:basedOn w:val="Normal"/>
    <w:link w:val="TableTextChar"/>
    <w:qFormat/>
    <w:rsid w:val="003246F0"/>
    <w:pPr>
      <w:keepNext/>
      <w:keepLines/>
      <w:spacing w:after="0"/>
      <w:jc w:val="left"/>
    </w:pPr>
    <w:rPr>
      <w:rFonts w:asciiTheme="minorHAnsi" w:eastAsiaTheme="minorHAnsi" w:hAnsiTheme="minorHAnsi" w:cstheme="minorHAnsi"/>
      <w:bCs/>
      <w:color w:val="313240"/>
      <w:sz w:val="20"/>
      <w:lang w:eastAsia="en-US"/>
    </w:rPr>
  </w:style>
  <w:style w:type="paragraph" w:customStyle="1" w:styleId="Tableheading1">
    <w:name w:val="Table heading 1"/>
    <w:basedOn w:val="TableText"/>
    <w:link w:val="Tableheading1Char"/>
    <w:qFormat/>
    <w:rsid w:val="003246F0"/>
    <w:rPr>
      <w:b/>
      <w:color w:val="ABEADD" w:themeColor="accent5" w:themeTint="66"/>
      <w:sz w:val="24"/>
      <w:szCs w:val="24"/>
    </w:rPr>
  </w:style>
  <w:style w:type="character" w:customStyle="1" w:styleId="TableTextChar">
    <w:name w:val="Table Text Char"/>
    <w:basedOn w:val="DefaultParagraphFont"/>
    <w:link w:val="TableText"/>
    <w:rsid w:val="003246F0"/>
    <w:rPr>
      <w:rFonts w:asciiTheme="minorHAnsi" w:eastAsiaTheme="minorHAnsi" w:hAnsiTheme="minorHAnsi" w:cstheme="minorHAnsi"/>
      <w:bCs/>
      <w:color w:val="313240"/>
      <w:lang w:eastAsia="en-US"/>
    </w:rPr>
  </w:style>
  <w:style w:type="character" w:customStyle="1" w:styleId="Tableheading1Char">
    <w:name w:val="Table heading 1 Char"/>
    <w:basedOn w:val="TableTextChar"/>
    <w:link w:val="Tableheading1"/>
    <w:rsid w:val="003246F0"/>
    <w:rPr>
      <w:rFonts w:asciiTheme="minorHAnsi" w:eastAsiaTheme="minorHAnsi" w:hAnsiTheme="minorHAnsi" w:cstheme="minorHAnsi"/>
      <w:b/>
      <w:bCs/>
      <w:color w:val="ABEADD" w:themeColor="accent5" w:themeTint="66"/>
      <w:sz w:val="24"/>
      <w:szCs w:val="24"/>
      <w:lang w:eastAsia="en-US"/>
    </w:rPr>
  </w:style>
  <w:style w:type="paragraph" w:customStyle="1" w:styleId="Tableheading2-3">
    <w:name w:val="Table heading 2-3"/>
    <w:basedOn w:val="Normal"/>
    <w:link w:val="Tableheading2-3Char"/>
    <w:qFormat/>
    <w:rsid w:val="003246F0"/>
    <w:pPr>
      <w:keepNext/>
      <w:keepLines/>
      <w:tabs>
        <w:tab w:val="left" w:pos="1701"/>
      </w:tabs>
      <w:spacing w:before="100" w:beforeAutospacing="1" w:after="100" w:afterAutospacing="1"/>
      <w:jc w:val="left"/>
    </w:pPr>
    <w:rPr>
      <w:rFonts w:asciiTheme="minorHAnsi" w:eastAsiaTheme="minorHAnsi" w:hAnsiTheme="minorHAnsi" w:cstheme="minorHAnsi"/>
      <w:b/>
      <w:bCs/>
      <w:color w:val="333333" w:themeColor="text2" w:themeShade="BF"/>
      <w:sz w:val="20"/>
      <w:lang w:eastAsia="ja-JP"/>
    </w:rPr>
  </w:style>
  <w:style w:type="paragraph" w:customStyle="1" w:styleId="TableTitle">
    <w:name w:val="Table Title"/>
    <w:basedOn w:val="Tableheading2-3"/>
    <w:link w:val="TableTitleChar"/>
    <w:qFormat/>
    <w:rsid w:val="003246F0"/>
  </w:style>
  <w:style w:type="character" w:customStyle="1" w:styleId="TableTitleChar">
    <w:name w:val="Table Title Char"/>
    <w:basedOn w:val="DefaultParagraphFont"/>
    <w:link w:val="TableTitle"/>
    <w:rsid w:val="003246F0"/>
    <w:rPr>
      <w:rFonts w:asciiTheme="minorHAnsi" w:eastAsiaTheme="minorHAnsi" w:hAnsiTheme="minorHAnsi" w:cstheme="minorHAnsi"/>
      <w:b/>
      <w:bCs/>
      <w:color w:val="333333" w:themeColor="text2" w:themeShade="BF"/>
      <w:lang w:eastAsia="ja-JP"/>
    </w:rPr>
  </w:style>
  <w:style w:type="character" w:customStyle="1" w:styleId="Tableheading2-3Char">
    <w:name w:val="Table heading 2-3 Char"/>
    <w:basedOn w:val="TableTextChar"/>
    <w:link w:val="Tableheading2-3"/>
    <w:rsid w:val="003246F0"/>
    <w:rPr>
      <w:rFonts w:asciiTheme="minorHAnsi" w:eastAsiaTheme="minorHAnsi" w:hAnsiTheme="minorHAnsi" w:cstheme="minorHAnsi"/>
      <w:b/>
      <w:bCs/>
      <w:color w:val="333333" w:themeColor="text2" w:themeShade="BF"/>
      <w:lang w:eastAsia="ja-JP"/>
    </w:rPr>
  </w:style>
  <w:style w:type="character" w:styleId="CommentReference">
    <w:name w:val="annotation reference"/>
    <w:basedOn w:val="DefaultParagraphFont"/>
    <w:uiPriority w:val="99"/>
    <w:semiHidden/>
    <w:unhideWhenUsed/>
    <w:rsid w:val="00E81972"/>
    <w:rPr>
      <w:sz w:val="16"/>
      <w:szCs w:val="16"/>
    </w:rPr>
  </w:style>
  <w:style w:type="paragraph" w:styleId="CommentText">
    <w:name w:val="annotation text"/>
    <w:basedOn w:val="Normal"/>
    <w:link w:val="CommentTextChar"/>
    <w:uiPriority w:val="99"/>
    <w:semiHidden/>
    <w:unhideWhenUsed/>
    <w:rsid w:val="00E81972"/>
    <w:rPr>
      <w:sz w:val="20"/>
    </w:rPr>
  </w:style>
  <w:style w:type="character" w:customStyle="1" w:styleId="CommentTextChar">
    <w:name w:val="Comment Text Char"/>
    <w:basedOn w:val="DefaultParagraphFont"/>
    <w:link w:val="CommentText"/>
    <w:uiPriority w:val="99"/>
    <w:semiHidden/>
    <w:rsid w:val="00E81972"/>
    <w:rPr>
      <w:rFonts w:ascii="Arial" w:hAnsi="Arial"/>
    </w:rPr>
  </w:style>
  <w:style w:type="paragraph" w:styleId="CommentSubject">
    <w:name w:val="annotation subject"/>
    <w:basedOn w:val="CommentText"/>
    <w:next w:val="CommentText"/>
    <w:link w:val="CommentSubjectChar"/>
    <w:uiPriority w:val="99"/>
    <w:semiHidden/>
    <w:unhideWhenUsed/>
    <w:rsid w:val="00E81972"/>
    <w:rPr>
      <w:b/>
      <w:bCs/>
    </w:rPr>
  </w:style>
  <w:style w:type="character" w:customStyle="1" w:styleId="CommentSubjectChar">
    <w:name w:val="Comment Subject Char"/>
    <w:basedOn w:val="CommentTextChar"/>
    <w:link w:val="CommentSubject"/>
    <w:uiPriority w:val="99"/>
    <w:semiHidden/>
    <w:rsid w:val="00E81972"/>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9783">
      <w:bodyDiv w:val="1"/>
      <w:marLeft w:val="0"/>
      <w:marRight w:val="0"/>
      <w:marTop w:val="0"/>
      <w:marBottom w:val="0"/>
      <w:divBdr>
        <w:top w:val="none" w:sz="0" w:space="0" w:color="auto"/>
        <w:left w:val="none" w:sz="0" w:space="0" w:color="auto"/>
        <w:bottom w:val="none" w:sz="0" w:space="0" w:color="auto"/>
        <w:right w:val="none" w:sz="0" w:space="0" w:color="auto"/>
      </w:divBdr>
    </w:div>
    <w:div w:id="471291971">
      <w:bodyDiv w:val="1"/>
      <w:marLeft w:val="0"/>
      <w:marRight w:val="0"/>
      <w:marTop w:val="0"/>
      <w:marBottom w:val="0"/>
      <w:divBdr>
        <w:top w:val="none" w:sz="0" w:space="0" w:color="auto"/>
        <w:left w:val="none" w:sz="0" w:space="0" w:color="auto"/>
        <w:bottom w:val="none" w:sz="0" w:space="0" w:color="auto"/>
        <w:right w:val="none" w:sz="0" w:space="0" w:color="auto"/>
      </w:divBdr>
    </w:div>
    <w:div w:id="131795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8.png"/><Relationship Id="rId28"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hyperlink" Target="http://www.atrf.info" TargetMode="External"/></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CD5F5-C090-41B9-9111-950E06A91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3985</Words>
  <Characters>22718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Infrastructure</Company>
  <LinksUpToDate>false</LinksUpToDate>
  <CharactersWithSpaces>26650</CharactersWithSpaces>
  <SharedDoc>false</SharedDoc>
  <HLinks>
    <vt:vector size="42" baseType="variant">
      <vt:variant>
        <vt:i4>2162731</vt:i4>
      </vt:variant>
      <vt:variant>
        <vt:i4>15</vt:i4>
      </vt:variant>
      <vt:variant>
        <vt:i4>0</vt:i4>
      </vt:variant>
      <vt:variant>
        <vt:i4>5</vt:i4>
      </vt:variant>
      <vt:variant>
        <vt:lpwstr>http://www.atrf2016.com.au/</vt:lpwstr>
      </vt:variant>
      <vt:variant>
        <vt:lpwstr/>
      </vt:variant>
      <vt:variant>
        <vt:i4>21</vt:i4>
      </vt:variant>
      <vt:variant>
        <vt:i4>12</vt:i4>
      </vt:variant>
      <vt:variant>
        <vt:i4>0</vt:i4>
      </vt:variant>
      <vt:variant>
        <vt:i4>5</vt:i4>
      </vt:variant>
      <vt:variant>
        <vt:lpwstr>https://easychair.org/conferences/?conf=atrf2016</vt:lpwstr>
      </vt:variant>
      <vt:variant>
        <vt:lpwstr/>
      </vt:variant>
      <vt:variant>
        <vt:i4>2687082</vt:i4>
      </vt:variant>
      <vt:variant>
        <vt:i4>9</vt:i4>
      </vt:variant>
      <vt:variant>
        <vt:i4>0</vt:i4>
      </vt:variant>
      <vt:variant>
        <vt:i4>5</vt:i4>
      </vt:variant>
      <vt:variant>
        <vt:lpwstr>http://guides.lib.monash.edu/citing-referencing/harvard</vt:lpwstr>
      </vt:variant>
      <vt:variant>
        <vt:lpwstr/>
      </vt:variant>
      <vt:variant>
        <vt:i4>7798871</vt:i4>
      </vt:variant>
      <vt:variant>
        <vt:i4>6</vt:i4>
      </vt:variant>
      <vt:variant>
        <vt:i4>0</vt:i4>
      </vt:variant>
      <vt:variant>
        <vt:i4>5</vt:i4>
      </vt:variant>
      <vt:variant>
        <vt:lpwstr>mailto:atrf2016@easychair.org</vt:lpwstr>
      </vt:variant>
      <vt:variant>
        <vt:lpwstr/>
      </vt:variant>
      <vt:variant>
        <vt:i4>2162731</vt:i4>
      </vt:variant>
      <vt:variant>
        <vt:i4>3</vt:i4>
      </vt:variant>
      <vt:variant>
        <vt:i4>0</vt:i4>
      </vt:variant>
      <vt:variant>
        <vt:i4>5</vt:i4>
      </vt:variant>
      <vt:variant>
        <vt:lpwstr>http://www.atrf2016.com.au/</vt:lpwstr>
      </vt:variant>
      <vt:variant>
        <vt:lpwstr/>
      </vt:variant>
      <vt:variant>
        <vt:i4>7798871</vt:i4>
      </vt:variant>
      <vt:variant>
        <vt:i4>0</vt:i4>
      </vt:variant>
      <vt:variant>
        <vt:i4>0</vt:i4>
      </vt:variant>
      <vt:variant>
        <vt:i4>5</vt:i4>
      </vt:variant>
      <vt:variant>
        <vt:lpwstr>mailto:atrf2016@easychair.org</vt:lpwstr>
      </vt:variant>
      <vt:variant>
        <vt:lpwstr/>
      </vt:variant>
      <vt:variant>
        <vt:i4>1507405</vt:i4>
      </vt:variant>
      <vt:variant>
        <vt:i4>6</vt:i4>
      </vt:variant>
      <vt:variant>
        <vt:i4>0</vt:i4>
      </vt:variant>
      <vt:variant>
        <vt:i4>5</vt:i4>
      </vt:variant>
      <vt:variant>
        <vt:lpwstr>http://www.atrf.info/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Pearl Louis</dc:creator>
  <cp:lastModifiedBy>AkersConsult</cp:lastModifiedBy>
  <cp:revision>2</cp:revision>
  <cp:lastPrinted>2016-05-30T01:01:00Z</cp:lastPrinted>
  <dcterms:created xsi:type="dcterms:W3CDTF">2016-09-29T11:11:00Z</dcterms:created>
  <dcterms:modified xsi:type="dcterms:W3CDTF">2016-09-29T11:11:00Z</dcterms:modified>
</cp:coreProperties>
</file>