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132E" w:rsidRPr="00DD7CC4" w:rsidRDefault="002E11CC" w:rsidP="00DD7CC4">
      <w:pPr>
        <w:pStyle w:val="AuthorName"/>
        <w:spacing w:after="0"/>
        <w:rPr>
          <w:rFonts w:cs="Arial"/>
          <w:b/>
          <w:sz w:val="40"/>
          <w:szCs w:val="40"/>
        </w:rPr>
      </w:pPr>
      <w:bookmarkStart w:id="0" w:name="_GoBack"/>
      <w:bookmarkEnd w:id="0"/>
      <w:r w:rsidRPr="00DD7CC4">
        <w:rPr>
          <w:rFonts w:cs="Arial"/>
          <w:b/>
          <w:sz w:val="40"/>
          <w:szCs w:val="40"/>
        </w:rPr>
        <w:t>Cognitive Mapping of Transfer</w:t>
      </w:r>
      <w:r w:rsidR="00B2132E" w:rsidRPr="00DD7CC4">
        <w:rPr>
          <w:rFonts w:cs="Arial"/>
          <w:b/>
          <w:sz w:val="40"/>
          <w:szCs w:val="40"/>
        </w:rPr>
        <w:t xml:space="preserve">: A </w:t>
      </w:r>
      <w:r w:rsidRPr="00DD7CC4">
        <w:rPr>
          <w:rFonts w:cs="Arial"/>
          <w:b/>
          <w:sz w:val="40"/>
          <w:szCs w:val="40"/>
        </w:rPr>
        <w:t xml:space="preserve">New Approach to </w:t>
      </w:r>
      <w:r w:rsidR="001A36E1" w:rsidRPr="00DD7CC4">
        <w:rPr>
          <w:rFonts w:cs="Arial"/>
          <w:b/>
          <w:sz w:val="40"/>
          <w:szCs w:val="40"/>
        </w:rPr>
        <w:t>U</w:t>
      </w:r>
      <w:r w:rsidR="00B2132E" w:rsidRPr="00DD7CC4">
        <w:rPr>
          <w:rFonts w:cs="Arial"/>
          <w:b/>
          <w:sz w:val="40"/>
          <w:szCs w:val="40"/>
        </w:rPr>
        <w:t xml:space="preserve">nderstand </w:t>
      </w:r>
      <w:r w:rsidR="001A36E1" w:rsidRPr="00DD7CC4">
        <w:rPr>
          <w:rFonts w:cs="Arial"/>
          <w:b/>
          <w:sz w:val="40"/>
          <w:szCs w:val="40"/>
        </w:rPr>
        <w:t>T</w:t>
      </w:r>
      <w:r w:rsidR="00B2132E" w:rsidRPr="00DD7CC4">
        <w:rPr>
          <w:rFonts w:cs="Arial"/>
          <w:b/>
          <w:sz w:val="40"/>
          <w:szCs w:val="40"/>
        </w:rPr>
        <w:t xml:space="preserve">ransfer </w:t>
      </w:r>
      <w:r w:rsidR="001A36E1" w:rsidRPr="00DD7CC4">
        <w:rPr>
          <w:rFonts w:cs="Arial"/>
          <w:b/>
          <w:sz w:val="40"/>
          <w:szCs w:val="40"/>
        </w:rPr>
        <w:t>B</w:t>
      </w:r>
      <w:r w:rsidR="00B2132E" w:rsidRPr="00DD7CC4">
        <w:rPr>
          <w:rFonts w:cs="Arial"/>
          <w:b/>
          <w:sz w:val="40"/>
          <w:szCs w:val="40"/>
        </w:rPr>
        <w:t>ehaviour</w:t>
      </w:r>
    </w:p>
    <w:p w:rsidR="00317765" w:rsidRPr="00DD7CC4" w:rsidRDefault="00317765" w:rsidP="00DD7CC4">
      <w:pPr>
        <w:pStyle w:val="AuthorAddress"/>
        <w:spacing w:after="0"/>
        <w:rPr>
          <w:rFonts w:cs="Arial"/>
        </w:rPr>
      </w:pPr>
    </w:p>
    <w:p w:rsidR="00B2132E" w:rsidRPr="00DD7CC4" w:rsidRDefault="00B2132E" w:rsidP="00DD7CC4">
      <w:pPr>
        <w:jc w:val="center"/>
        <w:rPr>
          <w:rFonts w:cs="Arial"/>
          <w:sz w:val="24"/>
          <w:szCs w:val="24"/>
          <w:vertAlign w:val="superscript"/>
          <w:lang w:eastAsia="ko-KR"/>
        </w:rPr>
      </w:pPr>
      <w:r w:rsidRPr="00DD7CC4">
        <w:rPr>
          <w:rFonts w:cs="Arial"/>
          <w:sz w:val="24"/>
          <w:szCs w:val="24"/>
        </w:rPr>
        <w:t>Jason Chin Shin Chia</w:t>
      </w:r>
      <w:r w:rsidRPr="00DD7CC4">
        <w:rPr>
          <w:rFonts w:cs="Arial"/>
          <w:sz w:val="24"/>
          <w:szCs w:val="24"/>
          <w:vertAlign w:val="superscript"/>
        </w:rPr>
        <w:t>1</w:t>
      </w:r>
      <w:r w:rsidRPr="00DD7CC4">
        <w:rPr>
          <w:rFonts w:cs="Arial"/>
          <w:sz w:val="24"/>
          <w:szCs w:val="24"/>
        </w:rPr>
        <w:t xml:space="preserve">, </w:t>
      </w:r>
      <w:r w:rsidR="000952DE" w:rsidRPr="00DD7CC4">
        <w:rPr>
          <w:rFonts w:cs="Arial"/>
          <w:sz w:val="24"/>
          <w:szCs w:val="24"/>
          <w:lang w:eastAsia="ko-KR"/>
        </w:rPr>
        <w:t xml:space="preserve">Dr </w:t>
      </w:r>
      <w:proofErr w:type="spellStart"/>
      <w:r w:rsidRPr="00DD7CC4">
        <w:rPr>
          <w:rFonts w:cs="Arial"/>
          <w:sz w:val="24"/>
          <w:szCs w:val="24"/>
        </w:rPr>
        <w:t>Jinwoo</w:t>
      </w:r>
      <w:proofErr w:type="spellEnd"/>
      <w:r w:rsidRPr="00DD7CC4">
        <w:rPr>
          <w:rFonts w:cs="Arial"/>
          <w:sz w:val="24"/>
          <w:szCs w:val="24"/>
        </w:rPr>
        <w:t xml:space="preserve"> (Brian) Lee</w:t>
      </w:r>
      <w:r w:rsidRPr="00DD7CC4">
        <w:rPr>
          <w:rFonts w:cs="Arial"/>
          <w:sz w:val="24"/>
          <w:szCs w:val="24"/>
          <w:vertAlign w:val="superscript"/>
        </w:rPr>
        <w:t>2</w:t>
      </w:r>
      <w:r w:rsidR="00386BB5" w:rsidRPr="00DD7CC4">
        <w:rPr>
          <w:rFonts w:cs="Arial"/>
          <w:sz w:val="24"/>
          <w:szCs w:val="24"/>
          <w:vertAlign w:val="superscript"/>
        </w:rPr>
        <w:t xml:space="preserve"> </w:t>
      </w:r>
      <w:r w:rsidR="00386BB5" w:rsidRPr="00DD7CC4">
        <w:rPr>
          <w:rFonts w:cs="Arial"/>
          <w:sz w:val="24"/>
          <w:szCs w:val="24"/>
          <w:lang w:eastAsia="ko-KR"/>
        </w:rPr>
        <w:t>and Dr Jung Hoon Han</w:t>
      </w:r>
      <w:r w:rsidR="00386BB5" w:rsidRPr="00DD7CC4">
        <w:rPr>
          <w:rFonts w:cs="Arial"/>
          <w:sz w:val="24"/>
          <w:szCs w:val="24"/>
          <w:vertAlign w:val="superscript"/>
          <w:lang w:eastAsia="ko-KR"/>
        </w:rPr>
        <w:t>3</w:t>
      </w:r>
    </w:p>
    <w:p w:rsidR="00317765" w:rsidRPr="00DD7CC4" w:rsidRDefault="00317765" w:rsidP="00DD7CC4">
      <w:pPr>
        <w:pStyle w:val="AuthorAddress"/>
        <w:spacing w:after="0"/>
        <w:rPr>
          <w:rFonts w:cs="Arial"/>
          <w:sz w:val="22"/>
          <w:szCs w:val="22"/>
          <w:vertAlign w:val="superscript"/>
        </w:rPr>
      </w:pPr>
    </w:p>
    <w:p w:rsidR="00B2132E" w:rsidRPr="00DD7CC4" w:rsidRDefault="00B2132E" w:rsidP="00DD7CC4">
      <w:pPr>
        <w:pStyle w:val="AuthorAddress"/>
        <w:spacing w:after="0"/>
        <w:rPr>
          <w:rFonts w:cs="Arial"/>
        </w:rPr>
      </w:pPr>
      <w:r w:rsidRPr="00DD7CC4">
        <w:rPr>
          <w:rFonts w:cs="Arial"/>
          <w:vertAlign w:val="superscript"/>
        </w:rPr>
        <w:t>1</w:t>
      </w:r>
      <w:r w:rsidRPr="00DD7CC4">
        <w:rPr>
          <w:rFonts w:cs="Arial"/>
        </w:rPr>
        <w:t xml:space="preserve"> PhD Candidate, Civil Engineering and Built Environment School, Science and Engineering Faculty, Queensland University of Technology</w:t>
      </w:r>
      <w:r w:rsidR="00386BB5" w:rsidRPr="00DD7CC4">
        <w:rPr>
          <w:rFonts w:cs="Arial"/>
        </w:rPr>
        <w:t xml:space="preserve"> (QUT)</w:t>
      </w:r>
      <w:r w:rsidRPr="00DD7CC4">
        <w:rPr>
          <w:rFonts w:cs="Arial"/>
        </w:rPr>
        <w:t>, Brisbane, Australia</w:t>
      </w:r>
    </w:p>
    <w:p w:rsidR="00B2132E" w:rsidRPr="00DD7CC4" w:rsidRDefault="00B2132E" w:rsidP="00DD7CC4">
      <w:pPr>
        <w:pStyle w:val="AuthorAddress"/>
        <w:spacing w:after="0"/>
        <w:rPr>
          <w:rFonts w:cs="Arial"/>
        </w:rPr>
      </w:pPr>
    </w:p>
    <w:p w:rsidR="00B2132E" w:rsidRPr="00DD7CC4" w:rsidRDefault="00B2132E" w:rsidP="00DD7CC4">
      <w:pPr>
        <w:pStyle w:val="AuthorAddress"/>
        <w:spacing w:after="0"/>
        <w:rPr>
          <w:rFonts w:cs="Arial"/>
        </w:rPr>
      </w:pPr>
      <w:r w:rsidRPr="00DD7CC4">
        <w:rPr>
          <w:rFonts w:cs="Arial"/>
          <w:vertAlign w:val="superscript"/>
        </w:rPr>
        <w:t>2</w:t>
      </w:r>
      <w:r w:rsidRPr="00DD7CC4">
        <w:rPr>
          <w:rFonts w:cs="Arial"/>
        </w:rPr>
        <w:t xml:space="preserve"> Senior Lecturer, Civil Engineering and Built Environment School, Science and Engineering Faculty, Queensland University of Technology</w:t>
      </w:r>
      <w:r w:rsidR="00386BB5" w:rsidRPr="00DD7CC4">
        <w:rPr>
          <w:rFonts w:cs="Arial"/>
        </w:rPr>
        <w:t xml:space="preserve"> (QUT)</w:t>
      </w:r>
      <w:r w:rsidRPr="00DD7CC4">
        <w:rPr>
          <w:rFonts w:cs="Arial"/>
        </w:rPr>
        <w:t>, Brisbane, Australia</w:t>
      </w:r>
    </w:p>
    <w:p w:rsidR="00B2132E" w:rsidRPr="00DD7CC4" w:rsidRDefault="00B2132E" w:rsidP="00DD7CC4">
      <w:pPr>
        <w:pStyle w:val="AuthorAddress"/>
        <w:spacing w:after="0"/>
        <w:rPr>
          <w:rFonts w:cs="Arial"/>
        </w:rPr>
      </w:pPr>
    </w:p>
    <w:p w:rsidR="00386BB5" w:rsidRPr="00DD7CC4" w:rsidRDefault="00386BB5" w:rsidP="00DD7CC4">
      <w:pPr>
        <w:pStyle w:val="AuthorAddress"/>
        <w:spacing w:after="0"/>
        <w:rPr>
          <w:rFonts w:cs="Arial"/>
        </w:rPr>
      </w:pPr>
      <w:r w:rsidRPr="00DD7CC4">
        <w:rPr>
          <w:rFonts w:cs="Arial"/>
          <w:vertAlign w:val="superscript"/>
        </w:rPr>
        <w:t>3</w:t>
      </w:r>
      <w:r w:rsidRPr="00DD7CC4">
        <w:rPr>
          <w:rFonts w:cs="Arial"/>
        </w:rPr>
        <w:t xml:space="preserve"> Senior Lecturer, City Planning, Faculty of the Built Environment, University of New South Wales (UNSW), Sydney, Australia</w:t>
      </w:r>
    </w:p>
    <w:p w:rsidR="00386BB5" w:rsidRPr="00DD7CC4" w:rsidRDefault="00386BB5" w:rsidP="00DD7CC4">
      <w:pPr>
        <w:pStyle w:val="AuthorAddress"/>
        <w:spacing w:after="0"/>
        <w:rPr>
          <w:rFonts w:cs="Arial"/>
        </w:rPr>
      </w:pPr>
    </w:p>
    <w:p w:rsidR="00B2132E" w:rsidRPr="00DD7CC4" w:rsidRDefault="00B2132E" w:rsidP="00DD7CC4">
      <w:pPr>
        <w:pStyle w:val="AuthorAddress"/>
        <w:spacing w:after="0"/>
        <w:rPr>
          <w:rFonts w:cs="Arial"/>
        </w:rPr>
      </w:pPr>
      <w:r w:rsidRPr="00DD7CC4">
        <w:rPr>
          <w:rFonts w:cs="Arial"/>
        </w:rPr>
        <w:t xml:space="preserve">Email for correspondence: </w:t>
      </w:r>
      <w:r w:rsidR="00600FD1" w:rsidRPr="00DD7CC4">
        <w:rPr>
          <w:rFonts w:cs="Arial"/>
        </w:rPr>
        <w:t>brian.lee@qut.edu.au</w:t>
      </w:r>
    </w:p>
    <w:p w:rsidR="00B2132E" w:rsidRPr="00DD7CC4" w:rsidRDefault="00B2132E" w:rsidP="00DD7CC4">
      <w:pPr>
        <w:rPr>
          <w:rFonts w:eastAsiaTheme="majorEastAsia" w:cs="Arial"/>
          <w:b/>
          <w:bCs/>
        </w:rPr>
      </w:pPr>
    </w:p>
    <w:p w:rsidR="00600FD1" w:rsidRPr="00DD7CC4" w:rsidRDefault="00600FD1" w:rsidP="00DD7CC4">
      <w:pPr>
        <w:rPr>
          <w:rFonts w:eastAsiaTheme="majorEastAsia" w:cs="Arial"/>
          <w:b/>
          <w:bCs/>
        </w:rPr>
      </w:pPr>
    </w:p>
    <w:p w:rsidR="00B2132E" w:rsidRPr="00DD7CC4" w:rsidRDefault="00B2132E" w:rsidP="00DD7CC4">
      <w:pPr>
        <w:pStyle w:val="Heading1"/>
        <w:jc w:val="center"/>
        <w:rPr>
          <w:rFonts w:cs="Arial"/>
          <w:szCs w:val="32"/>
        </w:rPr>
      </w:pPr>
      <w:r w:rsidRPr="00DD7CC4">
        <w:rPr>
          <w:rFonts w:cs="Arial"/>
          <w:szCs w:val="32"/>
        </w:rPr>
        <w:t>Abstract</w:t>
      </w:r>
    </w:p>
    <w:p w:rsidR="000952DE" w:rsidRPr="00DD7CC4" w:rsidRDefault="000952DE" w:rsidP="00DD7CC4">
      <w:pPr>
        <w:rPr>
          <w:rFonts w:cs="Arial"/>
          <w:sz w:val="24"/>
          <w:szCs w:val="24"/>
          <w:lang w:eastAsia="ko-KR"/>
        </w:rPr>
      </w:pPr>
    </w:p>
    <w:p w:rsidR="000B15B4" w:rsidRPr="00DD7CC4" w:rsidRDefault="00480B22" w:rsidP="00DD7CC4">
      <w:pPr>
        <w:rPr>
          <w:rFonts w:cs="Arial"/>
          <w:lang w:eastAsia="ko-KR"/>
        </w:rPr>
      </w:pPr>
      <w:r w:rsidRPr="00DD7CC4">
        <w:rPr>
          <w:rFonts w:cs="Arial"/>
        </w:rPr>
        <w:t xml:space="preserve">Transfer is a fundamental component of transit </w:t>
      </w:r>
      <w:r w:rsidR="00613C8D">
        <w:rPr>
          <w:rFonts w:cs="Arial"/>
        </w:rPr>
        <w:t>journey</w:t>
      </w:r>
      <w:r w:rsidRPr="00DD7CC4">
        <w:rPr>
          <w:rFonts w:cs="Arial"/>
        </w:rPr>
        <w:t xml:space="preserve"> t</w:t>
      </w:r>
      <w:r w:rsidR="000952DE" w:rsidRPr="00DD7CC4">
        <w:rPr>
          <w:rFonts w:cs="Arial"/>
          <w:lang w:eastAsia="ko-KR"/>
        </w:rPr>
        <w:t xml:space="preserve">hat expands the spatial coverage of transit service to </w:t>
      </w:r>
      <w:r w:rsidR="00C05AC8" w:rsidRPr="00DD7CC4">
        <w:rPr>
          <w:rFonts w:cs="Arial"/>
          <w:lang w:eastAsia="ko-KR"/>
        </w:rPr>
        <w:t xml:space="preserve">satisfy </w:t>
      </w:r>
      <w:r w:rsidR="000952DE" w:rsidRPr="00DD7CC4">
        <w:rPr>
          <w:rFonts w:cs="Arial"/>
          <w:lang w:eastAsia="ko-KR"/>
        </w:rPr>
        <w:t xml:space="preserve">increasingly diversifying </w:t>
      </w:r>
      <w:r w:rsidRPr="00DD7CC4">
        <w:rPr>
          <w:rFonts w:cs="Arial"/>
        </w:rPr>
        <w:t xml:space="preserve">travel needs. Despite the benefits that transfers can offer, </w:t>
      </w:r>
      <w:r w:rsidR="000952DE" w:rsidRPr="00DD7CC4">
        <w:rPr>
          <w:rFonts w:cs="Arial"/>
        </w:rPr>
        <w:t>transferring</w:t>
      </w:r>
      <w:r w:rsidR="000952DE" w:rsidRPr="00DD7CC4">
        <w:rPr>
          <w:rFonts w:cs="Arial"/>
          <w:lang w:eastAsia="ko-KR"/>
        </w:rPr>
        <w:t xml:space="preserve"> a transit service or mode is </w:t>
      </w:r>
      <w:r w:rsidR="00C05AC8" w:rsidRPr="00DD7CC4">
        <w:rPr>
          <w:rFonts w:cs="Arial"/>
          <w:lang w:eastAsia="ko-KR"/>
        </w:rPr>
        <w:t xml:space="preserve">generally </w:t>
      </w:r>
      <w:r w:rsidR="00EF05D4" w:rsidRPr="00DD7CC4">
        <w:rPr>
          <w:rFonts w:cs="Arial"/>
        </w:rPr>
        <w:t>perceived as a burden to</w:t>
      </w:r>
      <w:r w:rsidRPr="00DD7CC4">
        <w:rPr>
          <w:rFonts w:cs="Arial"/>
        </w:rPr>
        <w:t xml:space="preserve"> the </w:t>
      </w:r>
      <w:r w:rsidR="00EF05D4" w:rsidRPr="00DD7CC4">
        <w:rPr>
          <w:rFonts w:cs="Arial"/>
        </w:rPr>
        <w:t xml:space="preserve">whole </w:t>
      </w:r>
      <w:r w:rsidRPr="00DD7CC4">
        <w:rPr>
          <w:rFonts w:cs="Arial"/>
        </w:rPr>
        <w:t xml:space="preserve">transit journey experience. The conventional </w:t>
      </w:r>
      <w:r w:rsidR="000952DE" w:rsidRPr="00DD7CC4">
        <w:rPr>
          <w:rFonts w:cs="Arial"/>
          <w:lang w:eastAsia="ko-KR"/>
        </w:rPr>
        <w:t xml:space="preserve">approach of reflecting the inconvenience of transfer has been through integrating the </w:t>
      </w:r>
      <w:r w:rsidR="000B15B4" w:rsidRPr="00DD7CC4">
        <w:rPr>
          <w:rFonts w:cs="Arial"/>
        </w:rPr>
        <w:t xml:space="preserve">additional time and cost incurred during transfer, or transfer penalty that encapsulates subjective and physiological factors </w:t>
      </w:r>
      <w:r w:rsidR="000952DE" w:rsidRPr="00DD7CC4">
        <w:rPr>
          <w:rFonts w:cs="Arial"/>
          <w:lang w:eastAsia="ko-KR"/>
        </w:rPr>
        <w:t>in the mode choice model in the form of generalised transfer costs.</w:t>
      </w:r>
    </w:p>
    <w:p w:rsidR="000952DE" w:rsidRPr="00DD7CC4" w:rsidRDefault="000952DE" w:rsidP="00DD7CC4">
      <w:pPr>
        <w:rPr>
          <w:rFonts w:cs="Arial"/>
          <w:lang w:eastAsia="ko-KR"/>
        </w:rPr>
      </w:pPr>
    </w:p>
    <w:p w:rsidR="00446388" w:rsidRDefault="000B15B4" w:rsidP="00DD7CC4">
      <w:pPr>
        <w:rPr>
          <w:rFonts w:cs="Arial"/>
        </w:rPr>
      </w:pPr>
      <w:r w:rsidRPr="00DD7CC4">
        <w:rPr>
          <w:rFonts w:cs="Arial"/>
        </w:rPr>
        <w:t xml:space="preserve">This study builds upon the hypothesis that transit users will have a preference for the direction of travel towards </w:t>
      </w:r>
      <w:r w:rsidR="00C05AC8" w:rsidRPr="00DD7CC4">
        <w:rPr>
          <w:rFonts w:cs="Arial"/>
        </w:rPr>
        <w:t xml:space="preserve">their </w:t>
      </w:r>
      <w:r w:rsidRPr="00DD7CC4">
        <w:rPr>
          <w:rFonts w:cs="Arial"/>
        </w:rPr>
        <w:t xml:space="preserve">transfer point. </w:t>
      </w:r>
      <w:r w:rsidR="006111EC" w:rsidRPr="00DD7CC4">
        <w:rPr>
          <w:rFonts w:cs="Arial"/>
          <w:lang w:eastAsia="ko-KR"/>
        </w:rPr>
        <w:t xml:space="preserve">A total of </w:t>
      </w:r>
      <w:r w:rsidR="0014151D" w:rsidRPr="00DD7CC4">
        <w:rPr>
          <w:rFonts w:cs="Arial"/>
          <w:lang w:eastAsia="ko-KR"/>
        </w:rPr>
        <w:t>11,409</w:t>
      </w:r>
      <w:r w:rsidR="006111EC" w:rsidRPr="00DD7CC4">
        <w:rPr>
          <w:rFonts w:cs="Arial"/>
          <w:lang w:eastAsia="ko-KR"/>
        </w:rPr>
        <w:t xml:space="preserve"> single-transfer bus </w:t>
      </w:r>
      <w:r w:rsidR="00613C8D">
        <w:rPr>
          <w:rFonts w:cs="Arial"/>
          <w:lang w:eastAsia="ko-KR"/>
        </w:rPr>
        <w:t xml:space="preserve">journeys </w:t>
      </w:r>
      <w:r w:rsidR="00613C8D" w:rsidRPr="00DD7CC4">
        <w:rPr>
          <w:rFonts w:cs="Arial"/>
          <w:lang w:eastAsia="ko-KR"/>
        </w:rPr>
        <w:t>were</w:t>
      </w:r>
      <w:r w:rsidR="00317765" w:rsidRPr="00DD7CC4">
        <w:rPr>
          <w:rFonts w:cs="Arial"/>
          <w:lang w:eastAsia="ko-KR"/>
        </w:rPr>
        <w:t xml:space="preserve"> </w:t>
      </w:r>
      <w:r w:rsidR="006111EC" w:rsidRPr="00DD7CC4">
        <w:rPr>
          <w:rFonts w:cs="Arial"/>
          <w:lang w:eastAsia="ko-KR"/>
        </w:rPr>
        <w:t xml:space="preserve">derived from Brisbane’s </w:t>
      </w:r>
      <w:r w:rsidR="006A540B" w:rsidRPr="00DD7CC4">
        <w:rPr>
          <w:rFonts w:cs="Arial"/>
          <w:lang w:eastAsia="ko-KR"/>
        </w:rPr>
        <w:t xml:space="preserve">go </w:t>
      </w:r>
      <w:r w:rsidR="006111EC" w:rsidRPr="00DD7CC4">
        <w:rPr>
          <w:rFonts w:cs="Arial"/>
          <w:lang w:eastAsia="ko-KR"/>
        </w:rPr>
        <w:t>card dataset</w:t>
      </w:r>
      <w:r w:rsidR="00317765" w:rsidRPr="00DD7CC4">
        <w:rPr>
          <w:rFonts w:cs="Arial"/>
          <w:lang w:eastAsia="ko-KR"/>
        </w:rPr>
        <w:t xml:space="preserve">. Each </w:t>
      </w:r>
      <w:r w:rsidR="00613C8D">
        <w:rPr>
          <w:rFonts w:cs="Arial"/>
          <w:lang w:eastAsia="ko-KR"/>
        </w:rPr>
        <w:t>journey</w:t>
      </w:r>
      <w:r w:rsidR="00317765" w:rsidRPr="00DD7CC4">
        <w:rPr>
          <w:rFonts w:cs="Arial"/>
          <w:lang w:eastAsia="ko-KR"/>
        </w:rPr>
        <w:t xml:space="preserve">’s </w:t>
      </w:r>
      <w:r w:rsidR="006111EC" w:rsidRPr="00DD7CC4">
        <w:rPr>
          <w:rFonts w:cs="Arial"/>
          <w:lang w:eastAsia="ko-KR"/>
        </w:rPr>
        <w:t>origin</w:t>
      </w:r>
      <w:r w:rsidR="00317765" w:rsidRPr="00DD7CC4">
        <w:rPr>
          <w:rFonts w:cs="Arial"/>
          <w:lang w:eastAsia="ko-KR"/>
        </w:rPr>
        <w:t xml:space="preserve">, </w:t>
      </w:r>
      <w:r w:rsidR="006111EC" w:rsidRPr="00DD7CC4">
        <w:rPr>
          <w:rFonts w:cs="Arial"/>
          <w:lang w:eastAsia="ko-KR"/>
        </w:rPr>
        <w:t>transfer</w:t>
      </w:r>
      <w:r w:rsidR="00317765" w:rsidRPr="00DD7CC4">
        <w:rPr>
          <w:rFonts w:cs="Arial"/>
          <w:lang w:eastAsia="ko-KR"/>
        </w:rPr>
        <w:t xml:space="preserve">, and </w:t>
      </w:r>
      <w:r w:rsidR="006111EC" w:rsidRPr="00DD7CC4">
        <w:rPr>
          <w:rFonts w:cs="Arial"/>
          <w:lang w:eastAsia="ko-KR"/>
        </w:rPr>
        <w:t>destination</w:t>
      </w:r>
      <w:r w:rsidR="00317765" w:rsidRPr="00DD7CC4">
        <w:rPr>
          <w:rFonts w:cs="Arial"/>
          <w:lang w:eastAsia="ko-KR"/>
        </w:rPr>
        <w:t xml:space="preserve"> points</w:t>
      </w:r>
      <w:r w:rsidR="006111EC" w:rsidRPr="00DD7CC4">
        <w:rPr>
          <w:rFonts w:cs="Arial"/>
          <w:lang w:eastAsia="ko-KR"/>
        </w:rPr>
        <w:t xml:space="preserve"> </w:t>
      </w:r>
      <w:r w:rsidR="00317765" w:rsidRPr="00DD7CC4">
        <w:rPr>
          <w:rFonts w:cs="Arial"/>
          <w:lang w:eastAsia="ko-KR"/>
        </w:rPr>
        <w:t xml:space="preserve">were </w:t>
      </w:r>
      <w:r w:rsidR="006111EC" w:rsidRPr="00DD7CC4">
        <w:rPr>
          <w:rFonts w:cs="Arial"/>
          <w:lang w:eastAsia="ko-KR"/>
        </w:rPr>
        <w:t xml:space="preserve">projected to a </w:t>
      </w:r>
      <w:r w:rsidR="006111EC" w:rsidRPr="00DD7CC4">
        <w:rPr>
          <w:rFonts w:cs="Arial"/>
        </w:rPr>
        <w:t xml:space="preserve">standardised two-dimensional Euclidean space by applying </w:t>
      </w:r>
      <w:r w:rsidR="0014151D" w:rsidRPr="00DD7CC4">
        <w:rPr>
          <w:rFonts w:cs="Arial"/>
        </w:rPr>
        <w:t xml:space="preserve">translation, rotation and compression/dilation </w:t>
      </w:r>
      <w:r w:rsidR="006111EC" w:rsidRPr="00DD7CC4">
        <w:rPr>
          <w:rFonts w:cs="Arial"/>
        </w:rPr>
        <w:t xml:space="preserve">transformation. </w:t>
      </w:r>
      <w:r w:rsidR="00317765" w:rsidRPr="00DD7CC4">
        <w:rPr>
          <w:rFonts w:cs="Arial"/>
        </w:rPr>
        <w:t>As next, t</w:t>
      </w:r>
      <w:r w:rsidR="00C05AC8" w:rsidRPr="00DD7CC4">
        <w:rPr>
          <w:rFonts w:cs="Arial"/>
        </w:rPr>
        <w:t xml:space="preserve">he </w:t>
      </w:r>
      <w:r w:rsidR="004B0AA2" w:rsidRPr="00DD7CC4">
        <w:rPr>
          <w:rFonts w:cs="Arial"/>
        </w:rPr>
        <w:t>g</w:t>
      </w:r>
      <w:r w:rsidR="000952DE" w:rsidRPr="00DD7CC4">
        <w:rPr>
          <w:rFonts w:cs="Arial"/>
        </w:rPr>
        <w:t>rid-based hierarchical clustering</w:t>
      </w:r>
      <w:r w:rsidR="000952DE" w:rsidRPr="00DD7CC4">
        <w:rPr>
          <w:rFonts w:cs="Arial"/>
          <w:lang w:eastAsia="ko-KR"/>
        </w:rPr>
        <w:t xml:space="preserve"> </w:t>
      </w:r>
      <w:r w:rsidR="00317765" w:rsidRPr="00DD7CC4">
        <w:rPr>
          <w:rFonts w:cs="Arial"/>
          <w:lang w:eastAsia="ko-KR"/>
        </w:rPr>
        <w:t xml:space="preserve">was used to </w:t>
      </w:r>
      <w:r w:rsidR="00430296" w:rsidRPr="00DD7CC4">
        <w:rPr>
          <w:rFonts w:cs="Arial"/>
          <w:lang w:eastAsia="ko-KR"/>
        </w:rPr>
        <w:t xml:space="preserve">divide the Euclidean space into </w:t>
      </w:r>
      <w:r w:rsidR="0014151D" w:rsidRPr="00DD7CC4">
        <w:rPr>
          <w:rFonts w:cs="Arial"/>
          <w:lang w:eastAsia="ko-KR"/>
        </w:rPr>
        <w:t>150</w:t>
      </w:r>
      <w:r w:rsidR="00430296" w:rsidRPr="00DD7CC4">
        <w:rPr>
          <w:rFonts w:cs="Arial"/>
          <w:lang w:eastAsia="ko-KR"/>
        </w:rPr>
        <w:t xml:space="preserve"> cells </w:t>
      </w:r>
      <w:r w:rsidR="00317765" w:rsidRPr="00DD7CC4">
        <w:rPr>
          <w:rFonts w:cs="Arial"/>
          <w:lang w:eastAsia="ko-KR"/>
        </w:rPr>
        <w:t xml:space="preserve">to </w:t>
      </w:r>
      <w:r w:rsidR="00430296" w:rsidRPr="00DD7CC4">
        <w:rPr>
          <w:rFonts w:cs="Arial"/>
          <w:lang w:eastAsia="ko-KR"/>
        </w:rPr>
        <w:t>quantif</w:t>
      </w:r>
      <w:r w:rsidR="00317765" w:rsidRPr="00DD7CC4">
        <w:rPr>
          <w:rFonts w:cs="Arial"/>
          <w:lang w:eastAsia="ko-KR"/>
        </w:rPr>
        <w:t xml:space="preserve">y </w:t>
      </w:r>
      <w:r w:rsidR="00430296" w:rsidRPr="00DD7CC4">
        <w:rPr>
          <w:rFonts w:cs="Arial"/>
          <w:lang w:eastAsia="ko-KR"/>
        </w:rPr>
        <w:t xml:space="preserve">the “preference” for transfer direction and position based on the number of transfer points in </w:t>
      </w:r>
      <w:r w:rsidR="00317765" w:rsidRPr="00DD7CC4">
        <w:rPr>
          <w:rFonts w:cs="Arial"/>
          <w:lang w:eastAsia="ko-KR"/>
        </w:rPr>
        <w:t xml:space="preserve">each </w:t>
      </w:r>
      <w:r w:rsidR="00430296" w:rsidRPr="00DD7CC4">
        <w:rPr>
          <w:rFonts w:cs="Arial"/>
          <w:lang w:eastAsia="ko-KR"/>
        </w:rPr>
        <w:t>cell. M</w:t>
      </w:r>
      <w:r w:rsidR="001A1152" w:rsidRPr="00DD7CC4">
        <w:rPr>
          <w:rFonts w:cs="Arial"/>
        </w:rPr>
        <w:t xml:space="preserve">ajority of bus </w:t>
      </w:r>
      <w:r w:rsidR="00613C8D">
        <w:rPr>
          <w:rFonts w:cs="Arial"/>
          <w:lang w:eastAsia="ko-KR"/>
        </w:rPr>
        <w:t>journey</w:t>
      </w:r>
      <w:r w:rsidR="001A1152" w:rsidRPr="00DD7CC4">
        <w:rPr>
          <w:rFonts w:cs="Arial"/>
        </w:rPr>
        <w:t xml:space="preserve">s conducted have </w:t>
      </w:r>
      <w:r w:rsidR="00506675" w:rsidRPr="00DD7CC4">
        <w:rPr>
          <w:rFonts w:cs="Arial"/>
        </w:rPr>
        <w:t xml:space="preserve">made a transfer either near </w:t>
      </w:r>
      <w:r w:rsidR="00430296" w:rsidRPr="00DD7CC4">
        <w:rPr>
          <w:rFonts w:cs="Arial"/>
        </w:rPr>
        <w:t xml:space="preserve">the origin </w:t>
      </w:r>
      <w:r w:rsidR="00506675" w:rsidRPr="00DD7CC4">
        <w:rPr>
          <w:rFonts w:cs="Arial"/>
        </w:rPr>
        <w:t>or destination</w:t>
      </w:r>
      <w:r w:rsidR="004B0AA2" w:rsidRPr="00DD7CC4">
        <w:rPr>
          <w:rFonts w:cs="Arial"/>
        </w:rPr>
        <w:t xml:space="preserve">. </w:t>
      </w:r>
      <w:r w:rsidR="00430296" w:rsidRPr="00DD7CC4">
        <w:rPr>
          <w:rFonts w:cs="Arial"/>
        </w:rPr>
        <w:t>L</w:t>
      </w:r>
      <w:r w:rsidR="004B0AA2" w:rsidRPr="00DD7CC4">
        <w:rPr>
          <w:rFonts w:cs="Arial"/>
        </w:rPr>
        <w:t>ess</w:t>
      </w:r>
      <w:r w:rsidR="00317765" w:rsidRPr="00DD7CC4">
        <w:rPr>
          <w:rFonts w:cs="Arial"/>
        </w:rPr>
        <w:t xml:space="preserve"> number of </w:t>
      </w:r>
      <w:r w:rsidR="004B0AA2" w:rsidRPr="00DD7CC4">
        <w:rPr>
          <w:rFonts w:cs="Arial"/>
        </w:rPr>
        <w:t xml:space="preserve">transit </w:t>
      </w:r>
      <w:r w:rsidR="00613C8D">
        <w:rPr>
          <w:rFonts w:cs="Arial"/>
          <w:lang w:eastAsia="ko-KR"/>
        </w:rPr>
        <w:t>journey</w:t>
      </w:r>
      <w:r w:rsidR="004B0AA2" w:rsidRPr="00DD7CC4">
        <w:rPr>
          <w:rFonts w:cs="Arial"/>
        </w:rPr>
        <w:t xml:space="preserve">s are realised if one is required to make a transfer that </w:t>
      </w:r>
      <w:r w:rsidR="00317765" w:rsidRPr="00DD7CC4">
        <w:rPr>
          <w:rFonts w:cs="Arial"/>
        </w:rPr>
        <w:t xml:space="preserve">is </w:t>
      </w:r>
      <w:r w:rsidR="004B0AA2" w:rsidRPr="00DD7CC4">
        <w:rPr>
          <w:rFonts w:cs="Arial"/>
        </w:rPr>
        <w:t xml:space="preserve">deviated far from the straight line connecting the origin and destination. The straight line between origin and destination </w:t>
      </w:r>
      <w:r w:rsidR="002D1E7E" w:rsidRPr="00DD7CC4">
        <w:rPr>
          <w:rFonts w:cs="Arial"/>
        </w:rPr>
        <w:t>could</w:t>
      </w:r>
      <w:r w:rsidR="004B0AA2" w:rsidRPr="00DD7CC4">
        <w:rPr>
          <w:rFonts w:cs="Arial"/>
        </w:rPr>
        <w:t xml:space="preserve"> be considered as the private vehicle p</w:t>
      </w:r>
      <w:r w:rsidR="002D1E7E" w:rsidRPr="00DD7CC4">
        <w:rPr>
          <w:rFonts w:cs="Arial"/>
        </w:rPr>
        <w:t xml:space="preserve">ath perceived by travellers. The </w:t>
      </w:r>
      <w:r w:rsidR="004B0AA2" w:rsidRPr="00DD7CC4">
        <w:rPr>
          <w:rFonts w:cs="Arial"/>
        </w:rPr>
        <w:t xml:space="preserve">deviation from the straight line </w:t>
      </w:r>
      <w:r w:rsidR="00317765" w:rsidRPr="00DD7CC4">
        <w:rPr>
          <w:rFonts w:cs="Arial"/>
        </w:rPr>
        <w:t>may</w:t>
      </w:r>
      <w:r w:rsidR="004B0AA2" w:rsidRPr="00DD7CC4">
        <w:rPr>
          <w:rFonts w:cs="Arial"/>
        </w:rPr>
        <w:t xml:space="preserve"> imply the impedance of transfer</w:t>
      </w:r>
      <w:r w:rsidR="00317765" w:rsidRPr="00DD7CC4">
        <w:rPr>
          <w:rFonts w:cs="Arial"/>
        </w:rPr>
        <w:t xml:space="preserve">, which is likely to reduce </w:t>
      </w:r>
      <w:r w:rsidR="001A1152" w:rsidRPr="00DD7CC4">
        <w:rPr>
          <w:rFonts w:cs="Arial"/>
        </w:rPr>
        <w:t>the attractiveness of transit</w:t>
      </w:r>
      <w:r w:rsidR="00317765" w:rsidRPr="00DD7CC4">
        <w:rPr>
          <w:rFonts w:cs="Arial"/>
        </w:rPr>
        <w:t xml:space="preserve"> option</w:t>
      </w:r>
      <w:r w:rsidR="001A1152" w:rsidRPr="00DD7CC4">
        <w:rPr>
          <w:rFonts w:cs="Arial"/>
        </w:rPr>
        <w:t>.</w:t>
      </w:r>
      <w:r w:rsidR="00430296" w:rsidRPr="00DD7CC4">
        <w:rPr>
          <w:rFonts w:cs="Arial"/>
        </w:rPr>
        <w:t xml:space="preserve"> </w:t>
      </w:r>
      <w:r w:rsidR="001A1152" w:rsidRPr="00DD7CC4">
        <w:rPr>
          <w:rFonts w:cs="Arial"/>
        </w:rPr>
        <w:t>F</w:t>
      </w:r>
      <w:r w:rsidR="00A677AC" w:rsidRPr="00DD7CC4">
        <w:rPr>
          <w:rFonts w:cs="Arial"/>
        </w:rPr>
        <w:t xml:space="preserve">indings </w:t>
      </w:r>
      <w:r w:rsidR="00430296" w:rsidRPr="00DD7CC4">
        <w:rPr>
          <w:rFonts w:cs="Arial"/>
        </w:rPr>
        <w:t xml:space="preserve">from </w:t>
      </w:r>
      <w:r w:rsidR="00A677AC" w:rsidRPr="00DD7CC4">
        <w:rPr>
          <w:rFonts w:cs="Arial"/>
        </w:rPr>
        <w:t xml:space="preserve">this </w:t>
      </w:r>
      <w:r w:rsidR="00317765" w:rsidRPr="00DD7CC4">
        <w:rPr>
          <w:rFonts w:cs="Arial"/>
        </w:rPr>
        <w:t>study present a new approach to explain the transfer and associated travel behaviours.</w:t>
      </w:r>
    </w:p>
    <w:p w:rsidR="002E2376" w:rsidRDefault="002E2376" w:rsidP="00DD7CC4">
      <w:pPr>
        <w:rPr>
          <w:rFonts w:cs="Arial"/>
        </w:rPr>
      </w:pPr>
    </w:p>
    <w:p w:rsidR="002E2376" w:rsidRDefault="002E2376">
      <w:pPr>
        <w:spacing w:after="200" w:line="276" w:lineRule="auto"/>
        <w:jc w:val="left"/>
        <w:rPr>
          <w:rFonts w:eastAsiaTheme="majorEastAsia" w:cs="Arial"/>
          <w:b/>
          <w:bCs/>
          <w:sz w:val="32"/>
          <w:szCs w:val="32"/>
          <w:lang w:eastAsia="ko-KR"/>
        </w:rPr>
      </w:pPr>
      <w:r>
        <w:rPr>
          <w:rFonts w:cs="Arial"/>
          <w:szCs w:val="32"/>
        </w:rPr>
        <w:br w:type="page"/>
      </w:r>
    </w:p>
    <w:p w:rsidR="00DD7CC4" w:rsidRPr="00DD7CC4" w:rsidRDefault="00DD7CC4" w:rsidP="00DD7CC4">
      <w:pPr>
        <w:pStyle w:val="Heading1"/>
        <w:numPr>
          <w:ilvl w:val="0"/>
          <w:numId w:val="2"/>
        </w:numPr>
        <w:rPr>
          <w:rFonts w:cs="Arial"/>
          <w:szCs w:val="32"/>
        </w:rPr>
      </w:pPr>
      <w:r w:rsidRPr="00DD7CC4">
        <w:rPr>
          <w:rFonts w:cs="Arial"/>
          <w:szCs w:val="32"/>
        </w:rPr>
        <w:lastRenderedPageBreak/>
        <w:t>I</w:t>
      </w:r>
      <w:r w:rsidRPr="00313C0B">
        <w:t>ntroduction</w:t>
      </w:r>
    </w:p>
    <w:p w:rsidR="00DD7CC4" w:rsidRPr="00DD7CC4" w:rsidRDefault="00DD7CC4" w:rsidP="00DD7CC4">
      <w:pPr>
        <w:rPr>
          <w:rFonts w:cs="Arial"/>
        </w:rPr>
      </w:pPr>
    </w:p>
    <w:p w:rsidR="00DD7CC4" w:rsidRPr="00DD7CC4" w:rsidRDefault="00DD7CC4" w:rsidP="00DD7CC4">
      <w:pPr>
        <w:rPr>
          <w:rFonts w:cs="Arial"/>
        </w:rPr>
      </w:pPr>
      <w:r w:rsidRPr="00DD7CC4">
        <w:rPr>
          <w:rFonts w:cs="Arial"/>
        </w:rPr>
        <w:t xml:space="preserve">Providing seamless connection between origins and destinations has always been a long-standing goal of transit agencies, in order to compete with the door-to-door connectivity that private vehicle offers. </w:t>
      </w:r>
      <w:r w:rsidR="00A26B3D" w:rsidRPr="00DD7CC4">
        <w:rPr>
          <w:rFonts w:cs="Arial"/>
        </w:rPr>
        <w:t>Conventional radial transit orientation focuses on providing direct connections to bring commuters from the suburbs to the central business district (CBD).</w:t>
      </w:r>
      <w:r w:rsidR="00A26B3D">
        <w:rPr>
          <w:rFonts w:cs="Arial"/>
        </w:rPr>
        <w:t xml:space="preserve"> </w:t>
      </w:r>
      <w:r w:rsidRPr="00DD7CC4">
        <w:rPr>
          <w:rFonts w:cs="Arial"/>
        </w:rPr>
        <w:t xml:space="preserve">Due to </w:t>
      </w:r>
      <w:r w:rsidR="00A26B3D">
        <w:rPr>
          <w:rFonts w:cs="Arial"/>
        </w:rPr>
        <w:t>continual dispersion of cities to surrounding suburbs</w:t>
      </w:r>
      <w:r w:rsidRPr="00DD7CC4">
        <w:rPr>
          <w:rFonts w:cs="Arial"/>
        </w:rPr>
        <w:t xml:space="preserve">, public transit agencies are unable to provide direct connections for all origin-destination pairs. The extra effort in making transfers has deemed to be necessary </w:t>
      </w:r>
      <w:r w:rsidRPr="00DD7CC4">
        <w:rPr>
          <w:rFonts w:cs="Arial"/>
        </w:rPr>
        <w:fldChar w:fldCharType="begin"/>
      </w:r>
      <w:r w:rsidR="00446388">
        <w:rPr>
          <w:rFonts w:cs="Arial"/>
        </w:rPr>
        <w:instrText xml:space="preserve"> ADDIN EN.CITE &lt;EndNote&gt;&lt;Cite&gt;&lt;Author&gt;Ceder&lt;/Author&gt;&lt;Year&gt;2013&lt;/Year&gt;&lt;RecNum&gt;196&lt;/RecNum&gt;&lt;DisplayText&gt;(Ceder et al., 2013)&lt;/DisplayText&gt;&lt;record&gt;&lt;rec-number&gt;196&lt;/rec-number&gt;&lt;foreign-keys&gt;&lt;key app="EN" db-id="wt5p2v0d1pes9fetednxdse65xefzpvzzxvf"&gt;196&lt;/key&gt;&lt;/foreign-keys&gt;&lt;ref-type name="Journal Article"&gt;17&lt;/ref-type&gt;&lt;contributors&gt;&lt;authors&gt;&lt;author&gt;Ceder, Avishai&lt;/author&gt;&lt;author&gt;Chowdhury, Subeh&lt;/author&gt;&lt;author&gt;Taghipouran, Nima&lt;/author&gt;&lt;author&gt;Olsen, Jared&lt;/author&gt;&lt;/authors&gt;&lt;/contributors&gt;&lt;titles&gt;&lt;title&gt;Modelling public-transport users’ behaviour at connection point&lt;/title&gt;&lt;secondary-title&gt;Transport Policy&lt;/secondary-title&gt;&lt;/titles&gt;&lt;periodical&gt;&lt;full-title&gt;Transport Policy&lt;/full-title&gt;&lt;/periodical&gt;&lt;pages&gt;112-122&lt;/pages&gt;&lt;volume&gt;27&lt;/volume&gt;&lt;keywords&gt;&lt;keyword&gt;Travel behaviour&lt;/keyword&gt;&lt;keyword&gt;Public transport&lt;/keyword&gt;&lt;keyword&gt;Transfer&lt;/keyword&gt;&lt;keyword&gt;Cumulative prospect theory (CPT)&lt;/keyword&gt;&lt;keyword&gt;Fuzzy logic&lt;/keyword&gt;&lt;/keywords&gt;&lt;dates&gt;&lt;year&gt;2013&lt;/year&gt;&lt;/dates&gt;&lt;isbn&gt;0967-070X&lt;/isbn&gt;&lt;urls&gt;&lt;related-urls&gt;&lt;url&gt;http://www.sciencedirect.com/science/article/pii/S0967070X1300005X&lt;/url&gt;&lt;/related-urls&gt;&lt;/urls&gt;&lt;electronic-resource-num&gt;10.1016/j.tranpol.2013.01.002&lt;/electronic-resource-num&gt;&lt;/record&gt;&lt;/Cite&gt;&lt;/EndNote&gt;</w:instrText>
      </w:r>
      <w:r w:rsidRPr="00DD7CC4">
        <w:rPr>
          <w:rFonts w:cs="Arial"/>
        </w:rPr>
        <w:fldChar w:fldCharType="separate"/>
      </w:r>
      <w:r w:rsidR="00446388">
        <w:rPr>
          <w:rFonts w:cs="Arial"/>
          <w:noProof/>
        </w:rPr>
        <w:t>(</w:t>
      </w:r>
      <w:hyperlink w:anchor="_ENREF_2" w:tooltip="Ceder, 2013 #196" w:history="1">
        <w:r w:rsidR="00B77B2A">
          <w:rPr>
            <w:rFonts w:cs="Arial"/>
            <w:noProof/>
          </w:rPr>
          <w:t>Ceder et al., 2013</w:t>
        </w:r>
      </w:hyperlink>
      <w:r w:rsidR="00446388">
        <w:rPr>
          <w:rFonts w:cs="Arial"/>
          <w:noProof/>
        </w:rPr>
        <w:t>)</w:t>
      </w:r>
      <w:r w:rsidRPr="00DD7CC4">
        <w:rPr>
          <w:rFonts w:cs="Arial"/>
        </w:rPr>
        <w:fldChar w:fldCharType="end"/>
      </w:r>
      <w:r w:rsidRPr="00DD7CC4">
        <w:rPr>
          <w:rFonts w:cs="Arial"/>
        </w:rPr>
        <w:t xml:space="preserve">. </w:t>
      </w:r>
      <w:r w:rsidR="008C5AB4">
        <w:rPr>
          <w:rFonts w:cs="Arial"/>
        </w:rPr>
        <w:t>By incorporating transfers</w:t>
      </w:r>
      <w:r w:rsidRPr="00DD7CC4">
        <w:rPr>
          <w:rFonts w:cs="Arial"/>
        </w:rPr>
        <w:t xml:space="preserve">, transit system </w:t>
      </w:r>
      <w:r w:rsidR="008C5AB4">
        <w:rPr>
          <w:rFonts w:cs="Arial"/>
        </w:rPr>
        <w:t>could</w:t>
      </w:r>
      <w:r w:rsidRPr="00DD7CC4">
        <w:rPr>
          <w:rFonts w:cs="Arial"/>
        </w:rPr>
        <w:t xml:space="preserve"> expand service coverage and provide private vehicle competitive citywide access </w:t>
      </w:r>
      <w:r w:rsidRPr="00DD7CC4">
        <w:rPr>
          <w:rFonts w:cs="Arial"/>
        </w:rPr>
        <w:fldChar w:fldCharType="begin"/>
      </w:r>
      <w:r w:rsidR="00446388">
        <w:rPr>
          <w:rFonts w:cs="Arial"/>
        </w:rPr>
        <w:instrText xml:space="preserve"> ADDIN EN.CITE &lt;EndNote&gt;&lt;Cite&gt;&lt;Author&gt;Currie&lt;/Author&gt;&lt;Year&gt;2010&lt;/Year&gt;&lt;RecNum&gt;124&lt;/RecNum&gt;&lt;DisplayText&gt;(Currie and Loader, 2010)&lt;/DisplayText&gt;&lt;record&gt;&lt;rec-number&gt;124&lt;/rec-number&gt;&lt;foreign-keys&gt;&lt;key app="EN" db-id="wt5p2v0d1pes9fetednxdse65xefzpvzzxvf"&gt;124&lt;/key&gt;&lt;/foreign-keys&gt;&lt;ref-type name="Journal Article"&gt;17&lt;/ref-type&gt;&lt;contributors&gt;&lt;authors&gt;&lt;author&gt;Currie, Graham&lt;/author&gt;&lt;author&gt;Loader, Chris&lt;/author&gt;&lt;/authors&gt;&lt;/contributors&gt;&lt;titles&gt;&lt;title&gt;Bus network planning for transfers and the network effect in Melbourne, Australia&lt;/title&gt;&lt;secondary-title&gt;Transportation Research Record&lt;/secondary-title&gt;&lt;/titles&gt;&lt;periodical&gt;&lt;full-title&gt;Transportation Research Record&lt;/full-title&gt;&lt;/periodical&gt;&lt;pages&gt;8-17&lt;/pages&gt;&lt;volume&gt;2145&lt;/volume&gt;&lt;number&gt;1&lt;/number&gt;&lt;dates&gt;&lt;year&gt;2010&lt;/year&gt;&lt;/dates&gt;&lt;isbn&gt;0361-1981&lt;/isbn&gt;&lt;urls&gt;&lt;/urls&gt;&lt;electronic-resource-num&gt;10.3141/2145-02&lt;/electronic-resource-num&gt;&lt;/record&gt;&lt;/Cite&gt;&lt;/EndNote&gt;</w:instrText>
      </w:r>
      <w:r w:rsidRPr="00DD7CC4">
        <w:rPr>
          <w:rFonts w:cs="Arial"/>
        </w:rPr>
        <w:fldChar w:fldCharType="separate"/>
      </w:r>
      <w:r w:rsidR="00446388">
        <w:rPr>
          <w:rFonts w:cs="Arial"/>
          <w:noProof/>
        </w:rPr>
        <w:t>(</w:t>
      </w:r>
      <w:hyperlink w:anchor="_ENREF_7" w:tooltip="Currie, 2010 #124" w:history="1">
        <w:r w:rsidR="00B77B2A">
          <w:rPr>
            <w:rFonts w:cs="Arial"/>
            <w:noProof/>
          </w:rPr>
          <w:t>Currie and Loader, 2010</w:t>
        </w:r>
      </w:hyperlink>
      <w:r w:rsidR="00446388">
        <w:rPr>
          <w:rFonts w:cs="Arial"/>
          <w:noProof/>
        </w:rPr>
        <w:t>)</w:t>
      </w:r>
      <w:r w:rsidRPr="00DD7CC4">
        <w:rPr>
          <w:rFonts w:cs="Arial"/>
        </w:rPr>
        <w:fldChar w:fldCharType="end"/>
      </w:r>
      <w:r w:rsidRPr="00DD7CC4">
        <w:rPr>
          <w:rFonts w:cs="Arial"/>
        </w:rPr>
        <w:t xml:space="preserve">. Ironically, the extra effort required in making transfers has been recognised by travellers as an impeding factor that disrupts the transit travel experience and deters the usage of public transit </w:t>
      </w:r>
      <w:r w:rsidRPr="00DD7CC4">
        <w:rPr>
          <w:rFonts w:cs="Arial"/>
        </w:rPr>
        <w:fldChar w:fldCharType="begin">
          <w:fldData xml:space="preserve">PEVuZE5vdGU+PENpdGU+PEF1dGhvcj5IYWRhczwvQXV0aG9yPjxZZWFyPjIwMTI8L1llYXI+PFJl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==
</w:fldData>
        </w:fldChar>
      </w:r>
      <w:r w:rsidR="00446388">
        <w:rPr>
          <w:rFonts w:cs="Arial"/>
        </w:rPr>
        <w:instrText xml:space="preserve"> ADDIN EN.CITE </w:instrText>
      </w:r>
      <w:r w:rsidR="00446388">
        <w:rPr>
          <w:rFonts w:cs="Arial"/>
        </w:rPr>
        <w:fldChar w:fldCharType="begin">
          <w:fldData xml:space="preserve">PEVuZE5vdGU+PENpdGU+PEF1dGhvcj5IYWRhczwvQXV0aG9yPjxZZWFyPjIwMTI8L1llYXI+PFJl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==
</w:fldData>
        </w:fldChar>
      </w:r>
      <w:r w:rsidR="00446388">
        <w:rPr>
          <w:rFonts w:cs="Arial"/>
        </w:rPr>
        <w:instrText xml:space="preserve"> ADDIN EN.CITE.DATA </w:instrText>
      </w:r>
      <w:r w:rsidR="00446388">
        <w:rPr>
          <w:rFonts w:cs="Arial"/>
        </w:rPr>
      </w:r>
      <w:r w:rsidR="00446388">
        <w:rPr>
          <w:rFonts w:cs="Arial"/>
        </w:rPr>
        <w:fldChar w:fldCharType="end"/>
      </w:r>
      <w:r w:rsidRPr="00DD7CC4">
        <w:rPr>
          <w:rFonts w:cs="Arial"/>
        </w:rPr>
      </w:r>
      <w:r w:rsidRPr="00DD7CC4">
        <w:rPr>
          <w:rFonts w:cs="Arial"/>
        </w:rPr>
        <w:fldChar w:fldCharType="separate"/>
      </w:r>
      <w:r w:rsidR="00446388">
        <w:rPr>
          <w:rFonts w:cs="Arial"/>
          <w:noProof/>
        </w:rPr>
        <w:t>(</w:t>
      </w:r>
      <w:hyperlink w:anchor="_ENREF_11" w:tooltip="Guo, 2011 #193" w:history="1">
        <w:r w:rsidR="00B77B2A">
          <w:rPr>
            <w:rFonts w:cs="Arial"/>
            <w:noProof/>
          </w:rPr>
          <w:t>Guo and Wilson, 2011</w:t>
        </w:r>
      </w:hyperlink>
      <w:r w:rsidR="00446388">
        <w:rPr>
          <w:rFonts w:cs="Arial"/>
          <w:noProof/>
        </w:rPr>
        <w:t xml:space="preserve">; </w:t>
      </w:r>
      <w:hyperlink w:anchor="_ENREF_13" w:tooltip="Hadas, 2012 #18" w:history="1">
        <w:r w:rsidR="00B77B2A">
          <w:rPr>
            <w:rFonts w:cs="Arial"/>
            <w:noProof/>
          </w:rPr>
          <w:t>Hadas and Ranjitkar, 2012</w:t>
        </w:r>
      </w:hyperlink>
      <w:r w:rsidR="00446388">
        <w:rPr>
          <w:rFonts w:cs="Arial"/>
          <w:noProof/>
        </w:rPr>
        <w:t>)</w:t>
      </w:r>
      <w:r w:rsidRPr="00DD7CC4">
        <w:rPr>
          <w:rFonts w:cs="Arial"/>
        </w:rPr>
        <w:fldChar w:fldCharType="end"/>
      </w:r>
      <w:r w:rsidRPr="00DD7CC4">
        <w:rPr>
          <w:rFonts w:cs="Arial"/>
        </w:rPr>
        <w:t xml:space="preserve">. </w:t>
      </w:r>
    </w:p>
    <w:p w:rsidR="00DD7CC4" w:rsidRPr="00DD7CC4" w:rsidRDefault="00DD7CC4" w:rsidP="00DD7CC4">
      <w:pPr>
        <w:rPr>
          <w:rFonts w:cs="Arial"/>
          <w:lang w:val="en-US"/>
        </w:rPr>
      </w:pPr>
    </w:p>
    <w:p w:rsidR="00DD7CC4" w:rsidRPr="00DD7CC4" w:rsidRDefault="00DD7CC4" w:rsidP="00DD7CC4">
      <w:pPr>
        <w:rPr>
          <w:rFonts w:cs="Arial"/>
        </w:rPr>
      </w:pPr>
      <w:r w:rsidRPr="00DD7CC4">
        <w:rPr>
          <w:rFonts w:cs="Arial"/>
        </w:rPr>
        <w:t xml:space="preserve">Existing studies </w:t>
      </w:r>
      <w:r w:rsidR="00A26B3D">
        <w:rPr>
          <w:rFonts w:cs="Arial"/>
        </w:rPr>
        <w:t>study the impact of</w:t>
      </w:r>
      <w:r w:rsidRPr="00DD7CC4">
        <w:rPr>
          <w:rFonts w:cs="Arial"/>
        </w:rPr>
        <w:t xml:space="preserve"> transfer in terms of additional time and cost incurred during transfer including: walking time, waiting time, extra in-vehicle time and transfer cost </w:t>
      </w:r>
      <w:r w:rsidRPr="00DD7CC4">
        <w:rPr>
          <w:rFonts w:cs="Arial"/>
        </w:rPr>
        <w:fldChar w:fldCharType="begin"/>
      </w:r>
      <w:r w:rsidR="00446388">
        <w:rPr>
          <w:rFonts w:cs="Arial"/>
        </w:rPr>
        <w:instrText xml:space="preserve"> ADDIN EN.CITE &lt;EndNote&gt;&lt;Cite&gt;&lt;Author&gt;Wardman&lt;/Author&gt;&lt;Year&gt;2001&lt;/Year&gt;&lt;RecNum&gt;198&lt;/RecNum&gt;&lt;DisplayText&gt;(Sharaby and Shiftan, 2012; Wardman et al., 2001)&lt;/DisplayText&gt;&lt;record&gt;&lt;rec-number&gt;198&lt;/rec-number&gt;&lt;foreign-keys&gt;&lt;key app="EN" db-id="wt5p2v0d1pes9fetednxdse65xefzpvzzxvf"&gt;198&lt;/key&gt;&lt;/foreign-keys&gt;&lt;ref-type name="Report"&gt;27&lt;/ref-type&gt;&lt;contributors&gt;&lt;authors&gt;&lt;author&gt;Wardman, Mark&lt;/author&gt;&lt;author&gt;Hine, Julian&lt;/author&gt;&lt;author&gt;Stradling, Stephen&lt;/author&gt;&lt;/authors&gt;&lt;/contributors&gt;&lt;titles&gt;&lt;title&gt;Interchange and travel choice&lt;/title&gt;&lt;/titles&gt;&lt;volume&gt;1&lt;/volume&gt;&lt;dates&gt;&lt;year&gt;2001&lt;/year&gt;&lt;/dates&gt;&lt;publisher&gt;Scottish Execuive Central Research Unit&lt;/publisher&gt;&lt;urls&gt;&lt;/urls&gt;&lt;/record&gt;&lt;/Cite&gt;&lt;Cite&gt;&lt;Author&gt;Sharaby&lt;/Author&gt;&lt;Year&gt;2012&lt;/Year&gt;&lt;RecNum&gt;200&lt;/RecNum&gt;&lt;record&gt;&lt;rec-number&gt;200&lt;/rec-number&gt;&lt;foreign-keys&gt;&lt;key app="EN" db-id="wt5p2v0d1pes9fetednxdse65xefzpvzzxvf"&gt;200&lt;/key&gt;&lt;/foreign-keys&gt;&lt;ref-type name="Journal Article"&gt;17&lt;/ref-type&gt;&lt;contributors&gt;&lt;authors&gt;&lt;author&gt;Sharaby, Nir&lt;/author&gt;&lt;author&gt;Shiftan, Yoram&lt;/author&gt;&lt;/authors&gt;&lt;/contributors&gt;&lt;titles&gt;&lt;title&gt;The impact of fare integration on travel behavior and transit ridership&lt;/title&gt;&lt;secondary-title&gt;Transport Policy&lt;/secondary-title&gt;&lt;/titles&gt;&lt;periodical&gt;&lt;full-title&gt;Transport Policy&lt;/full-title&gt;&lt;/periodical&gt;&lt;pages&gt;63-70&lt;/pages&gt;&lt;volume&gt;21&lt;/volume&gt;&lt;keywords&gt;&lt;keyword&gt;Fare integration&lt;/keyword&gt;&lt;keyword&gt;Travel behavior&lt;/keyword&gt;&lt;keyword&gt;Transit ridership&lt;/keyword&gt;&lt;keyword&gt;Survey&lt;/keyword&gt;&lt;/keywords&gt;&lt;dates&gt;&lt;year&gt;2012&lt;/year&gt;&lt;/dates&gt;&lt;isbn&gt;0967-070X&lt;/isbn&gt;&lt;urls&gt;&lt;related-urls&gt;&lt;url&gt;http://www.sciencedirect.com/science/article/pii/S0967070X12000169&lt;/url&gt;&lt;/related-urls&gt;&lt;/urls&gt;&lt;electronic-resource-num&gt;10.1016/j.tranpol.2012.01.015&lt;/electronic-resource-num&gt;&lt;/record&gt;&lt;/Cite&gt;&lt;/EndNote&gt;</w:instrText>
      </w:r>
      <w:r w:rsidRPr="00DD7CC4">
        <w:rPr>
          <w:rFonts w:cs="Arial"/>
        </w:rPr>
        <w:fldChar w:fldCharType="separate"/>
      </w:r>
      <w:r w:rsidR="00446388">
        <w:rPr>
          <w:rFonts w:cs="Arial"/>
          <w:noProof/>
        </w:rPr>
        <w:t>(</w:t>
      </w:r>
      <w:hyperlink w:anchor="_ENREF_28" w:tooltip="Sharaby, 2012 #200" w:history="1">
        <w:r w:rsidR="00B77B2A">
          <w:rPr>
            <w:rFonts w:cs="Arial"/>
            <w:noProof/>
          </w:rPr>
          <w:t>Sharaby and Shiftan, 2012</w:t>
        </w:r>
      </w:hyperlink>
      <w:r w:rsidR="00446388">
        <w:rPr>
          <w:rFonts w:cs="Arial"/>
          <w:noProof/>
        </w:rPr>
        <w:t xml:space="preserve">; </w:t>
      </w:r>
      <w:hyperlink w:anchor="_ENREF_33" w:tooltip="Wardman, 2001 #198" w:history="1">
        <w:r w:rsidR="00B77B2A">
          <w:rPr>
            <w:rFonts w:cs="Arial"/>
            <w:noProof/>
          </w:rPr>
          <w:t>Wardman et al., 2001</w:t>
        </w:r>
      </w:hyperlink>
      <w:r w:rsidR="00446388">
        <w:rPr>
          <w:rFonts w:cs="Arial"/>
          <w:noProof/>
        </w:rPr>
        <w:t>)</w:t>
      </w:r>
      <w:r w:rsidRPr="00DD7CC4">
        <w:rPr>
          <w:rFonts w:cs="Arial"/>
        </w:rPr>
        <w:fldChar w:fldCharType="end"/>
      </w:r>
      <w:r w:rsidRPr="00DD7CC4">
        <w:rPr>
          <w:rFonts w:cs="Arial"/>
        </w:rPr>
        <w:t xml:space="preserve">. Another type of transfer penalty encapsulates subjective and physiological factors based on preferences, attitudes, and perceptions of transit users </w:t>
      </w:r>
      <w:r w:rsidRPr="00DD7CC4">
        <w:rPr>
          <w:rFonts w:cs="Arial"/>
        </w:rPr>
        <w:fldChar w:fldCharType="begin"/>
      </w:r>
      <w:r w:rsidR="00446388">
        <w:rPr>
          <w:rFonts w:cs="Arial"/>
        </w:rPr>
        <w:instrText xml:space="preserve"> ADDIN EN.CITE &lt;EndNote&gt;&lt;Cite&gt;&lt;Author&gt;Guo&lt;/Author&gt;&lt;Year&gt;2008&lt;/Year&gt;&lt;RecNum&gt;194&lt;/RecNum&gt;&lt;DisplayText&gt;(Guo and Ferreira, 2008; Liu et al., 1997)&lt;/DisplayText&gt;&lt;record&gt;&lt;rec-number&gt;194&lt;/rec-number&gt;&lt;foreign-keys&gt;&lt;key app="EN" db-id="wt5p2v0d1pes9fetednxdse65xefzpvzzxvf"&gt;194&lt;/key&gt;&lt;/foreign-keys&gt;&lt;ref-type name="Journal Article"&gt;17&lt;/ref-type&gt;&lt;contributors&gt;&lt;authors&gt;&lt;author&gt;Guo, Zhan&lt;/author&gt;&lt;author&gt;Ferreira, Joseph&lt;/author&gt;&lt;/authors&gt;&lt;/contributors&gt;&lt;titles&gt;&lt;title&gt;Pedestrian environments, transit path choice, and transfer penalties: Understanding land-use impacts on transit travel&lt;/title&gt;&lt;secondary-title&gt;Environment and Planning B: Planning and Design&lt;/secondary-title&gt;&lt;/titles&gt;&lt;periodical&gt;&lt;full-title&gt;Environment and Planning B: Planning and Design&lt;/full-title&gt;&lt;/periodical&gt;&lt;pages&gt;461-479&lt;/pages&gt;&lt;volume&gt;35&lt;/volume&gt;&lt;number&gt;3&lt;/number&gt;&lt;dates&gt;&lt;year&gt;2008&lt;/year&gt;&lt;/dates&gt;&lt;isbn&gt;0265-8135&lt;/isbn&gt;&lt;urls&gt;&lt;/urls&gt;&lt;electronic-resource-num&gt;10.1068/b33074&lt;/electronic-resource-num&gt;&lt;/record&gt;&lt;/Cite&gt;&lt;Cite&gt;&lt;Author&gt;Liu&lt;/Author&gt;&lt;Year&gt;1997&lt;/Year&gt;&lt;RecNum&gt;195&lt;/RecNum&gt;&lt;record&gt;&lt;rec-number&gt;195&lt;/rec-number&gt;&lt;foreign-keys&gt;&lt;key app="EN" db-id="wt5p2v0d1pes9fetednxdse65xefzpvzzxvf"&gt;195&lt;/key&gt;&lt;/foreign-keys&gt;&lt;ref-type name="Journal Article"&gt;17&lt;/ref-type&gt;&lt;contributors&gt;&lt;authors&gt;&lt;author&gt;Liu, Rongfang&lt;/author&gt;&lt;author&gt;Pendyala, Ram&lt;/author&gt;&lt;author&gt;Polzin, Steven&lt;/author&gt;&lt;/authors&gt;&lt;/contributors&gt;&lt;titles&gt;&lt;title&gt;Assessment of intermodal transfer penalties using stated preference data&lt;/title&gt;&lt;secondary-title&gt;Transportation Research Record&lt;/secondary-title&gt;&lt;/titles&gt;&lt;periodical&gt;&lt;full-title&gt;Transportation Research Record&lt;/full-title&gt;&lt;/periodical&gt;&lt;pages&gt;74-80&lt;/pages&gt;&lt;number&gt;1607&lt;/number&gt;&lt;dates&gt;&lt;year&gt;1997&lt;/year&gt;&lt;/dates&gt;&lt;isbn&gt;0361-1981&lt;/isbn&gt;&lt;urls&gt;&lt;/urls&gt;&lt;electronic-resource-num&gt;10.3141/1607-11&lt;/electronic-resource-num&gt;&lt;/record&gt;&lt;/Cite&gt;&lt;/EndNote&gt;</w:instrText>
      </w:r>
      <w:r w:rsidRPr="00DD7CC4">
        <w:rPr>
          <w:rFonts w:cs="Arial"/>
        </w:rPr>
        <w:fldChar w:fldCharType="separate"/>
      </w:r>
      <w:r w:rsidR="00446388">
        <w:rPr>
          <w:rFonts w:cs="Arial"/>
          <w:noProof/>
        </w:rPr>
        <w:t>(</w:t>
      </w:r>
      <w:hyperlink w:anchor="_ENREF_9" w:tooltip="Guo, 2008 #194" w:history="1">
        <w:r w:rsidR="00B77B2A">
          <w:rPr>
            <w:rFonts w:cs="Arial"/>
            <w:noProof/>
          </w:rPr>
          <w:t>Guo and Ferreira, 2008</w:t>
        </w:r>
      </w:hyperlink>
      <w:r w:rsidR="00446388">
        <w:rPr>
          <w:rFonts w:cs="Arial"/>
          <w:noProof/>
        </w:rPr>
        <w:t xml:space="preserve">; </w:t>
      </w:r>
      <w:hyperlink w:anchor="_ENREF_18" w:tooltip="Liu, 1997 #195" w:history="1">
        <w:r w:rsidR="00B77B2A">
          <w:rPr>
            <w:rFonts w:cs="Arial"/>
            <w:noProof/>
          </w:rPr>
          <w:t>Liu et al., 1997</w:t>
        </w:r>
      </w:hyperlink>
      <w:r w:rsidR="00446388">
        <w:rPr>
          <w:rFonts w:cs="Arial"/>
          <w:noProof/>
        </w:rPr>
        <w:t>)</w:t>
      </w:r>
      <w:r w:rsidRPr="00DD7CC4">
        <w:rPr>
          <w:rFonts w:cs="Arial"/>
        </w:rPr>
        <w:fldChar w:fldCharType="end"/>
      </w:r>
      <w:r w:rsidRPr="00DD7CC4">
        <w:rPr>
          <w:rFonts w:cs="Arial"/>
        </w:rPr>
        <w:t xml:space="preserve">. Different factors have been identified in the literature as those that will increase transit user’s perceived waiting and walking time during transfer such as service unreliability </w:t>
      </w:r>
      <w:r w:rsidRPr="00DD7CC4">
        <w:rPr>
          <w:rFonts w:cs="Arial"/>
        </w:rPr>
        <w:fldChar w:fldCharType="begin">
          <w:fldData xml:space="preserve">PEVuZE5vdGU+PENpdGU+PEF1dGhvcj5DdXJyaWU8L0F1dGhvcj48WWVhcj4yMDEwPC9ZZWFyPjxS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=
</w:fldData>
        </w:fldChar>
      </w:r>
      <w:r w:rsidR="00446388">
        <w:rPr>
          <w:rFonts w:cs="Arial"/>
        </w:rPr>
        <w:instrText xml:space="preserve"> ADDIN EN.CITE </w:instrText>
      </w:r>
      <w:r w:rsidR="00446388">
        <w:rPr>
          <w:rFonts w:cs="Arial"/>
        </w:rPr>
        <w:fldChar w:fldCharType="begin">
          <w:fldData xml:space="preserve">PEVuZE5vdGU+PENpdGU+PEF1dGhvcj5DdXJyaWU8L0F1dGhvcj48WWVhcj4yMDEwPC9ZZWFyPjxS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=
</w:fldData>
        </w:fldChar>
      </w:r>
      <w:r w:rsidR="00446388">
        <w:rPr>
          <w:rFonts w:cs="Arial"/>
        </w:rPr>
        <w:instrText xml:space="preserve"> ADDIN EN.CITE.DATA </w:instrText>
      </w:r>
      <w:r w:rsidR="00446388">
        <w:rPr>
          <w:rFonts w:cs="Arial"/>
        </w:rPr>
      </w:r>
      <w:r w:rsidR="00446388">
        <w:rPr>
          <w:rFonts w:cs="Arial"/>
        </w:rPr>
        <w:fldChar w:fldCharType="end"/>
      </w:r>
      <w:r w:rsidRPr="00DD7CC4">
        <w:rPr>
          <w:rFonts w:cs="Arial"/>
        </w:rPr>
      </w:r>
      <w:r w:rsidRPr="00DD7CC4">
        <w:rPr>
          <w:rFonts w:cs="Arial"/>
        </w:rPr>
        <w:fldChar w:fldCharType="separate"/>
      </w:r>
      <w:r w:rsidR="00446388">
        <w:rPr>
          <w:rFonts w:cs="Arial"/>
          <w:noProof/>
        </w:rPr>
        <w:t>(</w:t>
      </w:r>
      <w:hyperlink w:anchor="_ENREF_5" w:tooltip="Chowdhury, 2013 #201" w:history="1">
        <w:r w:rsidR="00B77B2A">
          <w:rPr>
            <w:rFonts w:cs="Arial"/>
            <w:noProof/>
          </w:rPr>
          <w:t>Chowdhury and Ceder, 2013</w:t>
        </w:r>
      </w:hyperlink>
      <w:r w:rsidR="00446388">
        <w:rPr>
          <w:rFonts w:cs="Arial"/>
          <w:noProof/>
        </w:rPr>
        <w:t xml:space="preserve">; </w:t>
      </w:r>
      <w:hyperlink w:anchor="_ENREF_6" w:tooltip="Chowdhury, 2014 #202" w:history="1">
        <w:r w:rsidR="00B77B2A">
          <w:rPr>
            <w:rFonts w:cs="Arial"/>
            <w:noProof/>
          </w:rPr>
          <w:t>Chowdhury et al., 2014</w:t>
        </w:r>
      </w:hyperlink>
      <w:r w:rsidR="00446388">
        <w:rPr>
          <w:rFonts w:cs="Arial"/>
          <w:noProof/>
        </w:rPr>
        <w:t xml:space="preserve">; </w:t>
      </w:r>
      <w:hyperlink w:anchor="_ENREF_7" w:tooltip="Currie, 2010 #124" w:history="1">
        <w:r w:rsidR="00B77B2A">
          <w:rPr>
            <w:rFonts w:cs="Arial"/>
            <w:noProof/>
          </w:rPr>
          <w:t>Currie and Loader, 2010</w:t>
        </w:r>
      </w:hyperlink>
      <w:r w:rsidR="00446388">
        <w:rPr>
          <w:rFonts w:cs="Arial"/>
          <w:noProof/>
        </w:rPr>
        <w:t xml:space="preserve">; </w:t>
      </w:r>
      <w:hyperlink w:anchor="_ENREF_12" w:tooltip="Hadas, 2010 #45" w:history="1">
        <w:r w:rsidR="00B77B2A">
          <w:rPr>
            <w:rFonts w:cs="Arial"/>
            <w:noProof/>
          </w:rPr>
          <w:t>Hadas and Ceder, 2010</w:t>
        </w:r>
      </w:hyperlink>
      <w:r w:rsidR="00446388">
        <w:rPr>
          <w:rFonts w:cs="Arial"/>
          <w:noProof/>
        </w:rPr>
        <w:t xml:space="preserve">; </w:t>
      </w:r>
      <w:hyperlink w:anchor="_ENREF_15" w:tooltip="Iseki, 2009 #83" w:history="1">
        <w:r w:rsidR="00B77B2A">
          <w:rPr>
            <w:rFonts w:cs="Arial"/>
            <w:noProof/>
          </w:rPr>
          <w:t>Iseki and Taylor, 2009</w:t>
        </w:r>
      </w:hyperlink>
      <w:r w:rsidR="00446388">
        <w:rPr>
          <w:rFonts w:cs="Arial"/>
          <w:noProof/>
        </w:rPr>
        <w:t>)</w:t>
      </w:r>
      <w:r w:rsidRPr="00DD7CC4">
        <w:rPr>
          <w:rFonts w:cs="Arial"/>
        </w:rPr>
        <w:fldChar w:fldCharType="end"/>
      </w:r>
      <w:r w:rsidRPr="00DD7CC4">
        <w:rPr>
          <w:rFonts w:cs="Arial"/>
        </w:rPr>
        <w:t xml:space="preserve">, delayed service performance </w:t>
      </w:r>
      <w:r w:rsidRPr="00DD7CC4">
        <w:rPr>
          <w:rFonts w:cs="Arial"/>
        </w:rPr>
        <w:fldChar w:fldCharType="begin">
          <w:fldData xml:space="preserve">PEVuZE5vdGU+PENpdGU+PEF1dGhvcj5DZWRlcjwvQXV0aG9yPjxZZWFyPjIwMTM8L1llYXI+PFJl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</w:fldData>
        </w:fldChar>
      </w:r>
      <w:r w:rsidR="00446388">
        <w:rPr>
          <w:rFonts w:cs="Arial"/>
        </w:rPr>
        <w:instrText xml:space="preserve"> ADDIN EN.CITE </w:instrText>
      </w:r>
      <w:r w:rsidR="00446388">
        <w:rPr>
          <w:rFonts w:cs="Arial"/>
        </w:rPr>
        <w:fldChar w:fldCharType="begin">
          <w:fldData xml:space="preserve">PEVuZE5vdGU+PENpdGU+PEF1dGhvcj5DZWRlcjwvQXV0aG9yPjxZZWFyPjIwMTM8L1llYXI+PFJl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</w:fldData>
        </w:fldChar>
      </w:r>
      <w:r w:rsidR="00446388">
        <w:rPr>
          <w:rFonts w:cs="Arial"/>
        </w:rPr>
        <w:instrText xml:space="preserve"> ADDIN EN.CITE.DATA </w:instrText>
      </w:r>
      <w:r w:rsidR="00446388">
        <w:rPr>
          <w:rFonts w:cs="Arial"/>
        </w:rPr>
      </w:r>
      <w:r w:rsidR="00446388">
        <w:rPr>
          <w:rFonts w:cs="Arial"/>
        </w:rPr>
        <w:fldChar w:fldCharType="end"/>
      </w:r>
      <w:r w:rsidRPr="00DD7CC4">
        <w:rPr>
          <w:rFonts w:cs="Arial"/>
        </w:rPr>
      </w:r>
      <w:r w:rsidRPr="00DD7CC4">
        <w:rPr>
          <w:rFonts w:cs="Arial"/>
        </w:rPr>
        <w:fldChar w:fldCharType="separate"/>
      </w:r>
      <w:r w:rsidR="00446388">
        <w:rPr>
          <w:rFonts w:cs="Arial"/>
          <w:noProof/>
        </w:rPr>
        <w:t>(</w:t>
      </w:r>
      <w:hyperlink w:anchor="_ENREF_2" w:tooltip="Ceder, 2013 #196" w:history="1">
        <w:r w:rsidR="00B77B2A">
          <w:rPr>
            <w:rFonts w:cs="Arial"/>
            <w:noProof/>
          </w:rPr>
          <w:t>Ceder et al., 2013</w:t>
        </w:r>
      </w:hyperlink>
      <w:r w:rsidR="00446388">
        <w:rPr>
          <w:rFonts w:cs="Arial"/>
          <w:noProof/>
        </w:rPr>
        <w:t xml:space="preserve">; </w:t>
      </w:r>
      <w:hyperlink w:anchor="_ENREF_21" w:tooltip="Mishalani, 2006 #203" w:history="1">
        <w:r w:rsidR="00B77B2A">
          <w:rPr>
            <w:rFonts w:cs="Arial"/>
            <w:noProof/>
          </w:rPr>
          <w:t>Mishalani et al., 2006</w:t>
        </w:r>
      </w:hyperlink>
      <w:r w:rsidR="00446388">
        <w:rPr>
          <w:rFonts w:cs="Arial"/>
          <w:noProof/>
        </w:rPr>
        <w:t>)</w:t>
      </w:r>
      <w:r w:rsidRPr="00DD7CC4">
        <w:rPr>
          <w:rFonts w:cs="Arial"/>
        </w:rPr>
        <w:fldChar w:fldCharType="end"/>
      </w:r>
      <w:r w:rsidRPr="00DD7CC4">
        <w:rPr>
          <w:rFonts w:cs="Arial"/>
        </w:rPr>
        <w:t xml:space="preserve">, inadequate information at transfer facilities </w:t>
      </w:r>
      <w:r w:rsidRPr="00DD7CC4">
        <w:rPr>
          <w:rFonts w:cs="Arial"/>
        </w:rPr>
        <w:fldChar w:fldCharType="begin"/>
      </w:r>
      <w:r w:rsidR="00446388">
        <w:rPr>
          <w:rFonts w:cs="Arial"/>
        </w:rPr>
        <w:instrText xml:space="preserve"> ADDIN EN.CITE &lt;EndNote&gt;&lt;Cite&gt;&lt;Author&gt;Iseki&lt;/Author&gt;&lt;Year&gt;2009&lt;/Year&gt;&lt;RecNum&gt;83&lt;/RecNum&gt;&lt;DisplayText&gt;(Hadas and Ceder, 2010; Iseki and Taylor, 2009)&lt;/DisplayText&gt;&lt;record&gt;&lt;rec-number&gt;83&lt;/rec-number&gt;&lt;foreign-keys&gt;&lt;key app="EN" db-id="wt5p2v0d1pes9fetednxdse65xefzpvzzxvf"&gt;83&lt;/key&gt;&lt;/foreign-keys&gt;&lt;ref-type name="Journal Article"&gt;17&lt;/ref-type&gt;&lt;contributors&gt;&lt;authors&gt;&lt;author&gt;Iseki, Hiroyuki&lt;/author&gt;&lt;author&gt;Taylor, Brian D.&lt;/author&gt;&lt;/authors&gt;&lt;/contributors&gt;&lt;titles&gt;&lt;title&gt;Not all transfers are created equal: Towards a framework relating transfer connectivity to travel behaviour&lt;/title&gt;&lt;secondary-title&gt;Transport Reviews&lt;/secondary-title&gt;&lt;/titles&gt;&lt;periodical&gt;&lt;full-title&gt;Transport Reviews&lt;/full-title&gt;&lt;/periodical&gt;&lt;pages&gt;777-800&lt;/pages&gt;&lt;volume&gt;29&lt;/volume&gt;&lt;number&gt;6&lt;/number&gt;&lt;dates&gt;&lt;year&gt;2009&lt;/year&gt;&lt;/dates&gt;&lt;publisher&gt;Routledge&lt;/publisher&gt;&lt;isbn&gt;0144-1647&lt;/isbn&gt;&lt;urls&gt;&lt;related-urls&gt;&lt;url&gt;http://dx.doi.org/10.1080/01441640902811304&lt;/url&gt;&lt;/related-urls&gt;&lt;/urls&gt;&lt;electronic-resource-num&gt;10.1080/01441640902811304&lt;/electronic-resource-num&gt;&lt;access-date&gt;2013/10/17&lt;/access-date&gt;&lt;/record&gt;&lt;/Cite&gt;&lt;Cite&gt;&lt;Author&gt;Hadas&lt;/Author&gt;&lt;Year&gt;2010&lt;/Year&gt;&lt;RecNum&gt;45&lt;/RecNum&gt;&lt;record&gt;&lt;rec-number&gt;45&lt;/rec-number&gt;&lt;foreign-keys&gt;&lt;key app="EN" db-id="wt5p2v0d1pes9fetednxdse65xefzpvzzxvf"&gt;45&lt;/key&gt;&lt;/foreign-keys&gt;&lt;ref-type name="Journal Article"&gt;17&lt;/ref-type&gt;&lt;contributors&gt;&lt;authors&gt;&lt;author&gt;Hadas, Yuval&lt;/author&gt;&lt;author&gt;Ceder, Avishai&lt;/author&gt;&lt;/authors&gt;&lt;/contributors&gt;&lt;titles&gt;&lt;title&gt;Public transit network connectivity&lt;/title&gt;&lt;secondary-title&gt;Transportation Research Record&lt;/secondary-title&gt;&lt;/titles&gt;&lt;periodical&gt;&lt;full-title&gt;Transportation Research Record&lt;/full-title&gt;&lt;/periodical&gt;&lt;pages&gt;1-8&lt;/pages&gt;&lt;volume&gt;2143&lt;/volume&gt;&lt;dates&gt;&lt;year&gt;2010&lt;/year&gt;&lt;/dates&gt;&lt;urls&gt;&lt;related-urls&gt;&lt;url&gt;http://dx.doi.org/10.3141/2143-01&lt;/url&gt;&lt;/related-urls&gt;&lt;/urls&gt;&lt;electronic-resource-num&gt;10.3141/2143-01&lt;/electronic-resource-num&gt;&lt;/record&gt;&lt;/Cite&gt;&lt;/EndNote&gt;</w:instrText>
      </w:r>
      <w:r w:rsidRPr="00DD7CC4">
        <w:rPr>
          <w:rFonts w:cs="Arial"/>
        </w:rPr>
        <w:fldChar w:fldCharType="separate"/>
      </w:r>
      <w:r w:rsidR="00446388">
        <w:rPr>
          <w:rFonts w:cs="Arial"/>
          <w:noProof/>
        </w:rPr>
        <w:t>(</w:t>
      </w:r>
      <w:hyperlink w:anchor="_ENREF_12" w:tooltip="Hadas, 2010 #45" w:history="1">
        <w:r w:rsidR="00B77B2A">
          <w:rPr>
            <w:rFonts w:cs="Arial"/>
            <w:noProof/>
          </w:rPr>
          <w:t>Hadas and Ceder, 2010</w:t>
        </w:r>
      </w:hyperlink>
      <w:r w:rsidR="00446388">
        <w:rPr>
          <w:rFonts w:cs="Arial"/>
          <w:noProof/>
        </w:rPr>
        <w:t xml:space="preserve">; </w:t>
      </w:r>
      <w:hyperlink w:anchor="_ENREF_15" w:tooltip="Iseki, 2009 #83" w:history="1">
        <w:r w:rsidR="00B77B2A">
          <w:rPr>
            <w:rFonts w:cs="Arial"/>
            <w:noProof/>
          </w:rPr>
          <w:t>Iseki and Taylor, 2009</w:t>
        </w:r>
      </w:hyperlink>
      <w:r w:rsidR="00446388">
        <w:rPr>
          <w:rFonts w:cs="Arial"/>
          <w:noProof/>
        </w:rPr>
        <w:t>)</w:t>
      </w:r>
      <w:r w:rsidRPr="00DD7CC4">
        <w:rPr>
          <w:rFonts w:cs="Arial"/>
        </w:rPr>
        <w:fldChar w:fldCharType="end"/>
      </w:r>
      <w:r w:rsidRPr="00DD7CC4">
        <w:rPr>
          <w:rFonts w:cs="Arial"/>
        </w:rPr>
        <w:t xml:space="preserve">, poor walking environments </w:t>
      </w:r>
      <w:r w:rsidRPr="00DD7CC4">
        <w:rPr>
          <w:rFonts w:cs="Arial"/>
        </w:rPr>
        <w:fldChar w:fldCharType="begin"/>
      </w:r>
      <w:r w:rsidR="00446388">
        <w:rPr>
          <w:rFonts w:cs="Arial"/>
        </w:rPr>
        <w:instrText xml:space="preserve"> ADDIN EN.CITE &lt;EndNote&gt;&lt;Cite&gt;&lt;Author&gt;Guo&lt;/Author&gt;&lt;Year&gt;2004&lt;/Year&gt;&lt;RecNum&gt;158&lt;/RecNum&gt;&lt;DisplayText&gt;(Guo and Wilson, 2004)&lt;/DisplayText&gt;&lt;record&gt;&lt;rec-number&gt;158&lt;/rec-number&gt;&lt;foreign-keys&gt;&lt;key app="EN" db-id="wt5p2v0d1pes9fetednxdse65xefzpvzzxvf"&gt;158&lt;/key&gt;&lt;/foreign-keys&gt;&lt;ref-type name="Journal Article"&gt;17&lt;/ref-type&gt;&lt;contributors&gt;&lt;authors&gt;&lt;author&gt;Guo, Zhan&lt;/author&gt;&lt;author&gt;Wilson, Nigel&lt;/author&gt;&lt;/authors&gt;&lt;/contributors&gt;&lt;titles&gt;&lt;title&gt;Assessment of the transfer penalty for transit trips geographic information system-based disaggregate modeling approach&lt;/title&gt;&lt;secondary-title&gt;Transportation Research Record: Journal of the Transportation Research Board&lt;/secondary-title&gt;&lt;/titles&gt;&lt;periodical&gt;&lt;full-title&gt;Transportation Research Record: Journal of the Transportation Research Board&lt;/full-title&gt;&lt;/periodical&gt;&lt;pages&gt;10-18&lt;/pages&gt;&lt;volume&gt;1872&lt;/volume&gt;&lt;dates&gt;&lt;year&gt;2004&lt;/year&gt;&lt;pub-dates&gt;&lt;date&gt;2004/01/01&lt;/date&gt;&lt;/pub-dates&gt;&lt;/dates&gt;&lt;publisher&gt;Transportation Research Board&lt;/publisher&gt;&lt;isbn&gt;0361-1981&lt;/isbn&gt;&lt;urls&gt;&lt;related-urls&gt;&lt;url&gt;http://dx.doi.org/10.3141/1872-02&lt;/url&gt;&lt;/related-urls&gt;&lt;/urls&gt;&lt;electronic-resource-num&gt;10.3141/1872-02&lt;/electronic-resource-num&gt;&lt;access-date&gt;2015/09/01&lt;/access-date&gt;&lt;/record&gt;&lt;/Cite&gt;&lt;/EndNote&gt;</w:instrText>
      </w:r>
      <w:r w:rsidRPr="00DD7CC4">
        <w:rPr>
          <w:rFonts w:cs="Arial"/>
        </w:rPr>
        <w:fldChar w:fldCharType="separate"/>
      </w:r>
      <w:r w:rsidR="00446388">
        <w:rPr>
          <w:rFonts w:cs="Arial"/>
          <w:noProof/>
        </w:rPr>
        <w:t>(</w:t>
      </w:r>
      <w:hyperlink w:anchor="_ENREF_10" w:tooltip="Guo, 2004 #158" w:history="1">
        <w:r w:rsidR="00B77B2A">
          <w:rPr>
            <w:rFonts w:cs="Arial"/>
            <w:noProof/>
          </w:rPr>
          <w:t>Guo and Wilson, 2004</w:t>
        </w:r>
      </w:hyperlink>
      <w:r w:rsidR="00446388">
        <w:rPr>
          <w:rFonts w:cs="Arial"/>
          <w:noProof/>
        </w:rPr>
        <w:t>)</w:t>
      </w:r>
      <w:r w:rsidRPr="00DD7CC4">
        <w:rPr>
          <w:rFonts w:cs="Arial"/>
        </w:rPr>
        <w:fldChar w:fldCharType="end"/>
      </w:r>
      <w:r w:rsidRPr="00DD7CC4">
        <w:rPr>
          <w:rFonts w:cs="Arial"/>
        </w:rPr>
        <w:t xml:space="preserve">, lack of amenities at transfer facilities </w:t>
      </w:r>
      <w:r w:rsidRPr="00DD7CC4">
        <w:rPr>
          <w:rFonts w:cs="Arial"/>
        </w:rPr>
        <w:fldChar w:fldCharType="begin"/>
      </w:r>
      <w:r w:rsidR="00446388">
        <w:rPr>
          <w:rFonts w:cs="Arial"/>
        </w:rPr>
        <w:instrText xml:space="preserve"> ADDIN EN.CITE &lt;EndNote&gt;&lt;Cite&gt;&lt;Author&gt;Iseki&lt;/Author&gt;&lt;Year&gt;2009&lt;/Year&gt;&lt;RecNum&gt;83&lt;/RecNum&gt;&lt;DisplayText&gt;(Iseki and Taylor, 2009)&lt;/DisplayText&gt;&lt;record&gt;&lt;rec-number&gt;83&lt;/rec-number&gt;&lt;foreign-keys&gt;&lt;key app="EN" db-id="wt5p2v0d1pes9fetednxdse65xefzpvzzxvf"&gt;83&lt;/key&gt;&lt;/foreign-keys&gt;&lt;ref-type name="Journal Article"&gt;17&lt;/ref-type&gt;&lt;contributors&gt;&lt;authors&gt;&lt;author&gt;Iseki, Hiroyuki&lt;/author&gt;&lt;author&gt;Taylor, Brian D.&lt;/author&gt;&lt;/authors&gt;&lt;/contributors&gt;&lt;titles&gt;&lt;title&gt;Not all transfers are created equal: Towards a framework relating transfer connectivity to travel behaviour&lt;/title&gt;&lt;secondary-title&gt;Transport Reviews&lt;/secondary-title&gt;&lt;/titles&gt;&lt;periodical&gt;&lt;full-title&gt;Transport Reviews&lt;/full-title&gt;&lt;/periodical&gt;&lt;pages&gt;777-800&lt;/pages&gt;&lt;volume&gt;29&lt;/volume&gt;&lt;number&gt;6&lt;/number&gt;&lt;dates&gt;&lt;year&gt;2009&lt;/year&gt;&lt;/dates&gt;&lt;publisher&gt;Routledge&lt;/publisher&gt;&lt;isbn&gt;0144-1647&lt;/isbn&gt;&lt;urls&gt;&lt;related-urls&gt;&lt;url&gt;http://dx.doi.org/10.1080/01441640902811304&lt;/url&gt;&lt;/related-urls&gt;&lt;/urls&gt;&lt;electronic-resource-num&gt;10.1080/01441640902811304&lt;/electronic-resource-num&gt;&lt;access-date&gt;2013/10/17&lt;/access-date&gt;&lt;/record&gt;&lt;/Cite&gt;&lt;/EndNote&gt;</w:instrText>
      </w:r>
      <w:r w:rsidRPr="00DD7CC4">
        <w:rPr>
          <w:rFonts w:cs="Arial"/>
        </w:rPr>
        <w:fldChar w:fldCharType="separate"/>
      </w:r>
      <w:r w:rsidR="00446388">
        <w:rPr>
          <w:rFonts w:cs="Arial"/>
          <w:noProof/>
        </w:rPr>
        <w:t>(</w:t>
      </w:r>
      <w:hyperlink w:anchor="_ENREF_15" w:tooltip="Iseki, 2009 #83" w:history="1">
        <w:r w:rsidR="00B77B2A">
          <w:rPr>
            <w:rFonts w:cs="Arial"/>
            <w:noProof/>
          </w:rPr>
          <w:t>Iseki and Taylor, 2009</w:t>
        </w:r>
      </w:hyperlink>
      <w:r w:rsidR="00446388">
        <w:rPr>
          <w:rFonts w:cs="Arial"/>
          <w:noProof/>
        </w:rPr>
        <w:t>)</w:t>
      </w:r>
      <w:r w:rsidRPr="00DD7CC4">
        <w:rPr>
          <w:rFonts w:cs="Arial"/>
        </w:rPr>
        <w:fldChar w:fldCharType="end"/>
      </w:r>
      <w:r w:rsidRPr="00DD7CC4">
        <w:rPr>
          <w:rFonts w:cs="Arial"/>
        </w:rPr>
        <w:t xml:space="preserve">, types of transfer </w:t>
      </w:r>
      <w:r w:rsidRPr="00DD7CC4">
        <w:rPr>
          <w:rFonts w:cs="Arial"/>
        </w:rPr>
        <w:fldChar w:fldCharType="begin"/>
      </w:r>
      <w:r w:rsidR="00446388">
        <w:rPr>
          <w:rFonts w:cs="Arial"/>
        </w:rPr>
        <w:instrText xml:space="preserve"> ADDIN EN.CITE &lt;EndNote&gt;&lt;Cite&gt;&lt;Author&gt;Hadas&lt;/Author&gt;&lt;Year&gt;2010&lt;/Year&gt;&lt;RecNum&gt;45&lt;/RecNum&gt;&lt;DisplayText&gt;(Hadas and Ceder, 2010; Hadas and Ranjitkar, 2012)&lt;/DisplayText&gt;&lt;record&gt;&lt;rec-number&gt;45&lt;/rec-number&gt;&lt;foreign-keys&gt;&lt;key app="EN" db-id="wt5p2v0d1pes9fetednxdse65xefzpvzzxvf"&gt;45&lt;/key&gt;&lt;/foreign-keys&gt;&lt;ref-type name="Journal Article"&gt;17&lt;/ref-type&gt;&lt;contributors&gt;&lt;authors&gt;&lt;author&gt;Hadas, Yuval&lt;/author&gt;&lt;author&gt;Ceder, Avishai&lt;/author&gt;&lt;/authors&gt;&lt;/contributors&gt;&lt;titles&gt;&lt;title&gt;Public transit network connectivity&lt;/title&gt;&lt;secondary-title&gt;Transportation Research Record&lt;/secondary-title&gt;&lt;/titles&gt;&lt;periodical&gt;&lt;full-title&gt;Transportation Research Record&lt;/full-title&gt;&lt;/periodical&gt;&lt;pages&gt;1-8&lt;/pages&gt;&lt;volume&gt;2143&lt;/volume&gt;&lt;dates&gt;&lt;year&gt;2010&lt;/year&gt;&lt;/dates&gt;&lt;urls&gt;&lt;related-urls&gt;&lt;url&gt;http://dx.doi.org/10.3141/2143-01&lt;/url&gt;&lt;/related-urls&gt;&lt;/urls&gt;&lt;electronic-resource-num&gt;10.3141/2143-01&lt;/electronic-resource-num&gt;&lt;/record&gt;&lt;/Cite&gt;&lt;Cite&gt;&lt;Author&gt;Hadas&lt;/Author&gt;&lt;Year&gt;2012&lt;/Year&gt;&lt;RecNum&gt;18&lt;/RecNum&gt;&lt;record&gt;&lt;rec-number&gt;18&lt;/rec-number&gt;&lt;foreign-keys&gt;&lt;key app="EN" db-id="wt5p2v0d1pes9fetednxdse65xefzpvzzxvf"&gt;18&lt;/key&gt;&lt;/foreign-keys&gt;&lt;ref-type name="Journal Article"&gt;17&lt;/ref-type&gt;&lt;contributors&gt;&lt;authors&gt;&lt;author&gt;Hadas, Yuval&lt;/author&gt;&lt;author&gt;Ranjitkar, Prakash&lt;/author&gt;&lt;/authors&gt;&lt;/contributors&gt;&lt;titles&gt;&lt;title&gt;Modeling public-transit connectivity with spatial quality-of-transfer measurements&lt;/title&gt;&lt;secondary-title&gt;Journal of Transport Geography&lt;/secondary-title&gt;&lt;/titles&gt;&lt;periodical&gt;&lt;full-title&gt;Journal of Transport Geography&lt;/full-title&gt;&lt;/periodical&gt;&lt;pages&gt;137-147&lt;/pages&gt;&lt;volume&gt;22&lt;/volume&gt;&lt;keywords&gt;&lt;keyword&gt;Public transit&lt;/keyword&gt;&lt;keyword&gt;Spatial analysis&lt;/keyword&gt;&lt;keyword&gt;Transfer&lt;/keyword&gt;&lt;keyword&gt;Performance measure&lt;/keyword&gt;&lt;keyword&gt;New Zealand&lt;/keyword&gt;&lt;/keywords&gt;&lt;dates&gt;&lt;year&gt;2012&lt;/year&gt;&lt;/dates&gt;&lt;isbn&gt;0966-6923&lt;/isbn&gt;&lt;urls&gt;&lt;related-urls&gt;&lt;url&gt;http://www.sciencedirect.com/science/article/pii/S0966692311002274&lt;/url&gt;&lt;/related-urls&gt;&lt;/urls&gt;&lt;electronic-resource-num&gt;10.1016/j.jtrangeo.2011.12.003&lt;/electronic-resource-num&gt;&lt;/record&gt;&lt;/Cite&gt;&lt;/EndNote&gt;</w:instrText>
      </w:r>
      <w:r w:rsidRPr="00DD7CC4">
        <w:rPr>
          <w:rFonts w:cs="Arial"/>
        </w:rPr>
        <w:fldChar w:fldCharType="separate"/>
      </w:r>
      <w:r w:rsidR="00446388">
        <w:rPr>
          <w:rFonts w:cs="Arial"/>
          <w:noProof/>
        </w:rPr>
        <w:t>(</w:t>
      </w:r>
      <w:hyperlink w:anchor="_ENREF_12" w:tooltip="Hadas, 2010 #45" w:history="1">
        <w:r w:rsidR="00B77B2A">
          <w:rPr>
            <w:rFonts w:cs="Arial"/>
            <w:noProof/>
          </w:rPr>
          <w:t>Hadas and Ceder, 2010</w:t>
        </w:r>
      </w:hyperlink>
      <w:r w:rsidR="00446388">
        <w:rPr>
          <w:rFonts w:cs="Arial"/>
          <w:noProof/>
        </w:rPr>
        <w:t xml:space="preserve">; </w:t>
      </w:r>
      <w:hyperlink w:anchor="_ENREF_13" w:tooltip="Hadas, 2012 #18" w:history="1">
        <w:r w:rsidR="00B77B2A">
          <w:rPr>
            <w:rFonts w:cs="Arial"/>
            <w:noProof/>
          </w:rPr>
          <w:t>Hadas and Ranjitkar, 2012</w:t>
        </w:r>
      </w:hyperlink>
      <w:r w:rsidR="00446388">
        <w:rPr>
          <w:rFonts w:cs="Arial"/>
          <w:noProof/>
        </w:rPr>
        <w:t>)</w:t>
      </w:r>
      <w:r w:rsidRPr="00DD7CC4">
        <w:rPr>
          <w:rFonts w:cs="Arial"/>
        </w:rPr>
        <w:fldChar w:fldCharType="end"/>
      </w:r>
      <w:r w:rsidRPr="00DD7CC4">
        <w:rPr>
          <w:rFonts w:cs="Arial"/>
        </w:rPr>
        <w:t xml:space="preserve"> and unsafe environments at transfer stations </w:t>
      </w:r>
      <w:r w:rsidRPr="00DD7CC4">
        <w:rPr>
          <w:rFonts w:cs="Arial"/>
        </w:rPr>
        <w:fldChar w:fldCharType="begin"/>
      </w:r>
      <w:r w:rsidR="00446388">
        <w:rPr>
          <w:rFonts w:cs="Arial"/>
        </w:rPr>
        <w:instrText xml:space="preserve"> ADDIN EN.CITE &lt;EndNote&gt;&lt;Cite&gt;&lt;Author&gt;Loukaitou-Sideris&lt;/Author&gt;&lt;Year&gt;2001&lt;/Year&gt;&lt;RecNum&gt;204&lt;/RecNum&gt;&lt;DisplayText&gt;(Loukaitou-Sideris et al., 2001)&lt;/DisplayText&gt;&lt;record&gt;&lt;rec-number&gt;204&lt;/rec-number&gt;&lt;foreign-keys&gt;&lt;key app="EN" db-id="wt5p2v0d1pes9fetednxdse65xefzpvzzxvf"&gt;204&lt;/key&gt;&lt;/foreign-keys&gt;&lt;ref-type name="Journal Article"&gt;17&lt;/ref-type&gt;&lt;contributors&gt;&lt;authors&gt;&lt;author&gt;Loukaitou-Sideris, Anastasia&lt;/author&gt;&lt;author&gt;Liggett, Robin&lt;/author&gt;&lt;author&gt;Iseki, Hiroyuki&lt;/author&gt;&lt;author&gt;Thurlow, William&lt;/author&gt;&lt;/authors&gt;&lt;/contributors&gt;&lt;titles&gt;&lt;title&gt;Measuring the effects of built environment on bus stop crime&lt;/title&gt;&lt;secondary-title&gt;Environment and Planning B: Planning and Design&lt;/secondary-title&gt;&lt;/titles&gt;&lt;periodical&gt;&lt;full-title&gt;Environment and Planning B: Planning and Design&lt;/full-title&gt;&lt;/periodical&gt;&lt;pages&gt;255-280&lt;/pages&gt;&lt;volume&gt;28&lt;/volume&gt;&lt;number&gt;2&lt;/number&gt;&lt;dates&gt;&lt;year&gt;2001&lt;/year&gt;&lt;/dates&gt;&lt;isbn&gt;0265-8135&lt;/isbn&gt;&lt;urls&gt;&lt;/urls&gt;&lt;electronic-resource-num&gt;10.1068/b2642r&lt;/electronic-resource-num&gt;&lt;/record&gt;&lt;/Cite&gt;&lt;/EndNote&gt;</w:instrText>
      </w:r>
      <w:r w:rsidRPr="00DD7CC4">
        <w:rPr>
          <w:rFonts w:cs="Arial"/>
        </w:rPr>
        <w:fldChar w:fldCharType="separate"/>
      </w:r>
      <w:r w:rsidR="00446388">
        <w:rPr>
          <w:rFonts w:cs="Arial"/>
          <w:noProof/>
        </w:rPr>
        <w:t>(</w:t>
      </w:r>
      <w:hyperlink w:anchor="_ENREF_19" w:tooltip="Loukaitou-Sideris, 2001 #204" w:history="1">
        <w:r w:rsidR="00B77B2A">
          <w:rPr>
            <w:rFonts w:cs="Arial"/>
            <w:noProof/>
          </w:rPr>
          <w:t>Loukaitou-Sideris et al., 2001</w:t>
        </w:r>
      </w:hyperlink>
      <w:r w:rsidR="00446388">
        <w:rPr>
          <w:rFonts w:cs="Arial"/>
          <w:noProof/>
        </w:rPr>
        <w:t>)</w:t>
      </w:r>
      <w:r w:rsidRPr="00DD7CC4">
        <w:rPr>
          <w:rFonts w:cs="Arial"/>
        </w:rPr>
        <w:fldChar w:fldCharType="end"/>
      </w:r>
      <w:r w:rsidRPr="00DD7CC4">
        <w:rPr>
          <w:rFonts w:cs="Arial"/>
        </w:rPr>
        <w:t xml:space="preserve">. Perceived environment of transit therefore significantly affects the utility of public transport and mode choices.  </w:t>
      </w:r>
    </w:p>
    <w:p w:rsidR="00DD7CC4" w:rsidRPr="00DD7CC4" w:rsidRDefault="00DD7CC4" w:rsidP="00DD7CC4">
      <w:pPr>
        <w:rPr>
          <w:rFonts w:cs="Arial"/>
        </w:rPr>
      </w:pPr>
    </w:p>
    <w:p w:rsidR="00DD7CC4" w:rsidRPr="00DD7CC4" w:rsidRDefault="00DD7CC4" w:rsidP="00DD7CC4">
      <w:pPr>
        <w:rPr>
          <w:rFonts w:cs="Arial"/>
        </w:rPr>
      </w:pPr>
      <w:r w:rsidRPr="00DD7CC4">
        <w:rPr>
          <w:rFonts w:cs="Arial"/>
        </w:rPr>
        <w:t>This study builds on the hypothesis that transit users have a preference for the direction of travel towards transfer points and this will influence the travel mode choice. The attractiveness of public transit will decrease when one has to make a transfer that involves a significant deviation from the direction to the destination. The deviation may imply intrinsic factors that account for subjective and physiological imp</w:t>
      </w:r>
      <w:r w:rsidR="0045783B">
        <w:rPr>
          <w:rFonts w:cs="Arial"/>
        </w:rPr>
        <w:t xml:space="preserve">edance imposed by the transfer. </w:t>
      </w:r>
      <w:r w:rsidRPr="00DD7CC4">
        <w:rPr>
          <w:rFonts w:cs="Arial"/>
        </w:rPr>
        <w:t>The impact of transfer location will be even more significant in a radial transit system, where transit users travelling from an outer suburb to another require a transfer in the CBD to access connecting transit lines or alternative modes. Despite an extensive range of research on transfer, the current literature has neglected the potential implication of travel direction towards transfer points i</w:t>
      </w:r>
      <w:r w:rsidR="0045783B">
        <w:rPr>
          <w:rFonts w:cs="Arial"/>
        </w:rPr>
        <w:t>n one’s decision making process.</w:t>
      </w:r>
    </w:p>
    <w:p w:rsidR="00DD7CC4" w:rsidRPr="00DD7CC4" w:rsidRDefault="00DD7CC4" w:rsidP="00DD7CC4">
      <w:pPr>
        <w:rPr>
          <w:rFonts w:cs="Arial"/>
        </w:rPr>
      </w:pPr>
    </w:p>
    <w:p w:rsidR="00DD7CC4" w:rsidRPr="00DD7CC4" w:rsidRDefault="00DD7CC4" w:rsidP="00DD7CC4">
      <w:pPr>
        <w:rPr>
          <w:rFonts w:cs="Arial"/>
        </w:rPr>
      </w:pPr>
      <w:r w:rsidRPr="00DD7CC4">
        <w:rPr>
          <w:rFonts w:cs="Arial"/>
        </w:rPr>
        <w:t xml:space="preserve">This study develops a cognitive transfer map of travellers by projecting the actual transit </w:t>
      </w:r>
      <w:r w:rsidR="00613C8D">
        <w:rPr>
          <w:rFonts w:cs="Arial"/>
          <w:lang w:eastAsia="ko-KR"/>
        </w:rPr>
        <w:t>journey</w:t>
      </w:r>
      <w:r w:rsidRPr="00DD7CC4">
        <w:rPr>
          <w:rFonts w:cs="Arial"/>
        </w:rPr>
        <w:t xml:space="preserve"> (i.e., </w:t>
      </w:r>
      <w:r w:rsidR="005E6D2A">
        <w:rPr>
          <w:rFonts w:cs="Arial"/>
        </w:rPr>
        <w:t>journey</w:t>
      </w:r>
      <w:r w:rsidRPr="00DD7CC4">
        <w:rPr>
          <w:rFonts w:cs="Arial"/>
        </w:rPr>
        <w:t xml:space="preserve"> origin, destination, and transfer point) into two-dimensional Euclidean space</w:t>
      </w:r>
      <w:r w:rsidR="0045783B">
        <w:rPr>
          <w:rFonts w:cs="Arial"/>
        </w:rPr>
        <w:t xml:space="preserve"> to better understand transfer behaviours of transit users, using </w:t>
      </w:r>
      <w:r w:rsidRPr="00DD7CC4">
        <w:rPr>
          <w:rFonts w:cs="Arial"/>
        </w:rPr>
        <w:t xml:space="preserve">smart card data of South East Queensland, Australia. </w:t>
      </w:r>
      <w:r w:rsidRPr="0045783B">
        <w:rPr>
          <w:rFonts w:cs="Arial"/>
        </w:rPr>
        <w:t>The “preference” for transfer point location is quantified and ranked through gri</w:t>
      </w:r>
      <w:r w:rsidR="0045783B">
        <w:rPr>
          <w:rFonts w:cs="Arial"/>
        </w:rPr>
        <w:t>d-based hierarchical clustering.</w:t>
      </w:r>
    </w:p>
    <w:p w:rsidR="0045783B" w:rsidRDefault="0045783B">
      <w:pPr>
        <w:spacing w:after="200" w:line="276" w:lineRule="auto"/>
        <w:jc w:val="left"/>
        <w:rPr>
          <w:rFonts w:cs="Arial"/>
          <w:sz w:val="24"/>
          <w:szCs w:val="24"/>
        </w:rPr>
      </w:pPr>
      <w:r>
        <w:rPr>
          <w:rFonts w:cs="Arial"/>
          <w:sz w:val="24"/>
          <w:szCs w:val="24"/>
        </w:rPr>
        <w:br w:type="page"/>
      </w:r>
    </w:p>
    <w:p w:rsidR="00313C0B" w:rsidRPr="00313C0B" w:rsidRDefault="00313C0B" w:rsidP="00313C0B">
      <w:pPr>
        <w:pStyle w:val="Heading1"/>
        <w:numPr>
          <w:ilvl w:val="0"/>
          <w:numId w:val="2"/>
        </w:numPr>
      </w:pPr>
      <w:r w:rsidRPr="00313C0B">
        <w:lastRenderedPageBreak/>
        <w:t>Literature Review</w:t>
      </w:r>
    </w:p>
    <w:p w:rsidR="00313C0B" w:rsidRPr="00313C0B" w:rsidRDefault="00313C0B" w:rsidP="00313C0B">
      <w:pPr>
        <w:rPr>
          <w:rFonts w:cs="Arial"/>
          <w:sz w:val="24"/>
          <w:szCs w:val="24"/>
        </w:rPr>
      </w:pPr>
    </w:p>
    <w:p w:rsidR="00313C0B" w:rsidRPr="00313C0B" w:rsidRDefault="00313C0B" w:rsidP="00631A58">
      <w:r w:rsidRPr="00313C0B">
        <w:t xml:space="preserve">Urban </w:t>
      </w:r>
      <w:r w:rsidR="00B408D4">
        <w:t>d</w:t>
      </w:r>
      <w:r w:rsidRPr="00313C0B">
        <w:t xml:space="preserve">ecentralisation accelerates the diversification of travel demand, where public transit has no capacity to quickly cope with new trends as compared to private vehicles. In the past, the transit network was designed to mainly satisfy commuting trips from the suburbs to the CBD. Most major cities in the world have experienced significant growth and decentralisation of urban settlements into less-dense outer CBD areas over the last few decades. This has created a simultaneous need for transit systems to serve not only the traditional commuting trips to central city jobs from outlying suburbs, but commuting trips to suburban jobs from the central city and intra-suburb trips for various activities </w:t>
      </w:r>
      <w:r w:rsidRPr="00313C0B">
        <w:fldChar w:fldCharType="begin"/>
      </w:r>
      <w:r w:rsidR="00446388">
        <w:instrText xml:space="preserve"> ADDIN EN.CITE &lt;EndNote&gt;&lt;Cite&gt;&lt;Author&gt;Brown&lt;/Author&gt;&lt;Year&gt;2008&lt;/Year&gt;&lt;RecNum&gt;90&lt;/RecNum&gt;&lt;DisplayText&gt;(Brown and Thompson, 2008)&lt;/DisplayText&gt;&lt;record&gt;&lt;rec-number&gt;90&lt;/rec-number&gt;&lt;foreign-keys&gt;&lt;key app="EN" db-id="wt5p2v0d1pes9fetednxdse65xefzpvzzxvf"&gt;90&lt;/key&gt;&lt;/foreign-keys&gt;&lt;ref-type name="Journal Article"&gt;17&lt;/ref-type&gt;&lt;contributors&gt;&lt;authors&gt;&lt;author&gt;Brown, Jeffrey&lt;/author&gt;&lt;author&gt;Thompson, Gregory&lt;/author&gt;&lt;/authors&gt;&lt;/contributors&gt;&lt;titles&gt;&lt;title&gt;Service orientation, bus—rail service integration, and transit performance: Examination of 45 U.S. metropolitan areas&lt;/title&gt;&lt;secondary-title&gt;Transportation Research Record&lt;/secondary-title&gt;&lt;/titles&gt;&lt;periodical&gt;&lt;full-title&gt;Transportation Research Record&lt;/full-title&gt;&lt;/periodical&gt;&lt;pages&gt;82-89&lt;/pages&gt;&lt;volume&gt;2042&lt;/volume&gt;&lt;dates&gt;&lt;year&gt;2008&lt;/year&gt;&lt;/dates&gt;&lt;urls&gt;&lt;related-urls&gt;&lt;url&gt;http://dx.doi.org/10.3141/2042-09&lt;/url&gt;&lt;/related-urls&gt;&lt;/urls&gt;&lt;electronic-resource-num&gt;10.3141/2042-09&lt;/electronic-resource-num&gt;&lt;/record&gt;&lt;/Cite&gt;&lt;/EndNote&gt;</w:instrText>
      </w:r>
      <w:r w:rsidRPr="00313C0B">
        <w:fldChar w:fldCharType="separate"/>
      </w:r>
      <w:r w:rsidR="00446388">
        <w:rPr>
          <w:noProof/>
        </w:rPr>
        <w:t>(</w:t>
      </w:r>
      <w:hyperlink w:anchor="_ENREF_1" w:tooltip="Brown, 2008 #90" w:history="1">
        <w:r w:rsidR="00B77B2A">
          <w:rPr>
            <w:noProof/>
          </w:rPr>
          <w:t>Brown and Thompson, 2008</w:t>
        </w:r>
      </w:hyperlink>
      <w:r w:rsidR="00446388">
        <w:rPr>
          <w:noProof/>
        </w:rPr>
        <w:t>)</w:t>
      </w:r>
      <w:r w:rsidRPr="00313C0B">
        <w:fldChar w:fldCharType="end"/>
      </w:r>
      <w:r w:rsidRPr="00313C0B">
        <w:t xml:space="preserve">. </w:t>
      </w:r>
      <w:r w:rsidRPr="00313C0B">
        <w:fldChar w:fldCharType="begin"/>
      </w:r>
      <w:r w:rsidRPr="00313C0B">
        <w:instrText xml:space="preserve"> ADDIN EN.CITE &lt;EndNote&gt;&lt;Cite AuthorYear="1"&gt;&lt;Author&gt;Pickrell&lt;/Author&gt;&lt;Year&gt;1985&lt;/Year&gt;&lt;RecNum&gt;211&lt;/RecNum&gt;&lt;DisplayText&gt;Pickrell (1985)&lt;/DisplayText&gt;&lt;record&gt;&lt;rec-number&gt;211&lt;/rec-number&gt;&lt;foreign-keys&gt;&lt;key app="EN" db-id="wt5p2v0d1pes9fetednxdse65xefzpvzzxvf"&gt;211&lt;/key&gt;&lt;/foreign-keys&gt;&lt;ref-type name="Journal Article"&gt;17&lt;/ref-type&gt;&lt;contributors&gt;&lt;authors&gt;&lt;author&gt;Pickrell, Don H.&lt;/author&gt;&lt;/authors&gt;&lt;/contributors&gt;&lt;titles&gt;&lt;title&gt;Rising Deficits and the Uses of Transit Subsidies in the United States&lt;/title&gt;&lt;secondary-title&gt;Journal of Transport Economics and Policy&lt;/secondary-title&gt;&lt;/titles&gt;&lt;periodical&gt;&lt;full-title&gt;Journal of Transport Economics and Policy&lt;/full-title&gt;&lt;/periodical&gt;&lt;pages&gt;281-298&lt;/pages&gt;&lt;volume&gt;19&lt;/volume&gt;&lt;number&gt;3&lt;/number&gt;&lt;dates&gt;&lt;year&gt;1985&lt;/year&gt;&lt;/dates&gt;&lt;publisher&gt;[London School of Economics, University of Bath, London School of Economics and University of Bath, London School of Economics and Political Science]&lt;/publisher&gt;&lt;isbn&gt;00225258&lt;/isbn&gt;&lt;urls&gt;&lt;related-urls&gt;&lt;url&gt;http://www.jstor.org/stable/20052756&lt;/url&gt;&lt;/related-urls&gt;&lt;/urls&gt;&lt;custom1&gt;Full publication date: Sep., 1985&lt;/custom1&gt;&lt;/record&gt;&lt;/Cite&gt;&lt;/EndNote&gt;</w:instrText>
      </w:r>
      <w:r w:rsidRPr="00313C0B">
        <w:fldChar w:fldCharType="separate"/>
      </w:r>
      <w:hyperlink w:anchor="_ENREF_24" w:tooltip="Pickrell, 1985 #211" w:history="1">
        <w:r w:rsidR="00B77B2A" w:rsidRPr="00313C0B">
          <w:t>Pickrell (1985</w:t>
        </w:r>
      </w:hyperlink>
      <w:r w:rsidRPr="00313C0B">
        <w:t>)</w:t>
      </w:r>
      <w:r w:rsidRPr="00313C0B">
        <w:fldChar w:fldCharType="end"/>
      </w:r>
      <w:r w:rsidRPr="00313C0B">
        <w:t xml:space="preserve"> argues that the failure to adapt transit service policies to changing travel patterns is a major source of the decline in transit demand. Empirical evidence also suggest that the attainment of a high level of transit ridership is most likely achievable when transit networks are designed to serve multiple passenger cohorts and diverse travel demand patterns </w:t>
      </w:r>
      <w:r w:rsidRPr="00313C0B">
        <w:fldChar w:fldCharType="begin"/>
      </w:r>
      <w:r w:rsidR="00446388">
        <w:instrText xml:space="preserve"> ADDIN EN.CITE &lt;EndNote&gt;&lt;Cite&gt;&lt;Author&gt;Thompson&lt;/Author&gt;&lt;Year&gt;1977&lt;/Year&gt;&lt;RecNum&gt;190&lt;/RecNum&gt;&lt;DisplayText&gt;(Thompson, 1977; Thompson and Matoff, 2003)&lt;/DisplayText&gt;&lt;record&gt;&lt;rec-number&gt;190&lt;/rec-number&gt;&lt;foreign-keys&gt;&lt;key app="EN" db-id="wt5p2v0d1pes9fetednxdse65xefzpvzzxvf"&gt;190&lt;/key&gt;&lt;/foreign-keys&gt;&lt;ref-type name="Journal Article"&gt;17&lt;/ref-type&gt;&lt;contributors&gt;&lt;authors&gt;&lt;author&gt;Thompson, Gregory Lee&lt;/author&gt;&lt;/authors&gt;&lt;/contributors&gt;&lt;titles&gt;&lt;title&gt;Planning considerations for alternative transit route structures&lt;/title&gt;&lt;secondary-title&gt;Journal of the American Institute of Planners&lt;/secondary-title&gt;&lt;/titles&gt;&lt;periodical&gt;&lt;full-title&gt;Journal of the American Institute of Planners&lt;/full-title&gt;&lt;/periodical&gt;&lt;pages&gt;158-168&lt;/pages&gt;&lt;volume&gt;43&lt;/volume&gt;&lt;number&gt;2&lt;/number&gt;&lt;dates&gt;&lt;year&gt;1977&lt;/year&gt;&lt;pub-dates&gt;&lt;date&gt;1977/04/01&lt;/date&gt;&lt;/pub-dates&gt;&lt;/dates&gt;&lt;publisher&gt;Routledge&lt;/publisher&gt;&lt;isbn&gt;0002-8991&lt;/isbn&gt;&lt;urls&gt;&lt;related-urls&gt;&lt;url&gt;http://dx.doi.org/10.1080/01944367708977773&lt;/url&gt;&lt;/related-urls&gt;&lt;/urls&gt;&lt;electronic-resource-num&gt;10.1080/01944367708977773&lt;/electronic-resource-num&gt;&lt;/record&gt;&lt;/Cite&gt;&lt;Cite&gt;&lt;Author&gt;Thompson&lt;/Author&gt;&lt;Year&gt;2003&lt;/Year&gt;&lt;RecNum&gt;116&lt;/RecNum&gt;&lt;record&gt;&lt;rec-number&gt;116&lt;/rec-number&gt;&lt;foreign-keys&gt;&lt;key app="EN" db-id="wt5p2v0d1pes9fetednxdse65xefzpvzzxvf"&gt;116&lt;/key&gt;&lt;/foreign-keys&gt;&lt;ref-type name="Journal Article"&gt;17&lt;/ref-type&gt;&lt;contributors&gt;&lt;authors&gt;&lt;author&gt;Thompson, Gregory Lee&lt;/author&gt;&lt;author&gt;Matoff, Thomas G&lt;/author&gt;&lt;/authors&gt;&lt;/contributors&gt;&lt;titles&gt;&lt;title&gt;Keeping up with the joneses: Radial vs. multidestinational transit in decentralizing regions&lt;/title&gt;&lt;secondary-title&gt;Journal of the American Planning Association&lt;/secondary-title&gt;&lt;/titles&gt;&lt;periodical&gt;&lt;full-title&gt;Journal of the American Planning Association&lt;/full-title&gt;&lt;/periodical&gt;&lt;pages&gt;296-312&lt;/pages&gt;&lt;volume&gt;69&lt;/volume&gt;&lt;number&gt;3&lt;/number&gt;&lt;dates&gt;&lt;year&gt;2003&lt;/year&gt;&lt;/dates&gt;&lt;isbn&gt;0194-4363&lt;/isbn&gt;&lt;urls&gt;&lt;/urls&gt;&lt;electronic-resource-num&gt;10.1080/01944360308978021&lt;/electronic-resource-num&gt;&lt;/record&gt;&lt;/Cite&gt;&lt;/EndNote&gt;</w:instrText>
      </w:r>
      <w:r w:rsidRPr="00313C0B">
        <w:fldChar w:fldCharType="separate"/>
      </w:r>
      <w:r w:rsidR="00446388">
        <w:rPr>
          <w:noProof/>
        </w:rPr>
        <w:t>(</w:t>
      </w:r>
      <w:hyperlink w:anchor="_ENREF_29" w:tooltip="Thompson, 1977 #190" w:history="1">
        <w:r w:rsidR="00B77B2A">
          <w:rPr>
            <w:noProof/>
          </w:rPr>
          <w:t>Thompson, 1977</w:t>
        </w:r>
      </w:hyperlink>
      <w:r w:rsidR="00446388">
        <w:rPr>
          <w:noProof/>
        </w:rPr>
        <w:t xml:space="preserve">; </w:t>
      </w:r>
      <w:hyperlink w:anchor="_ENREF_30" w:tooltip="Thompson, 2003 #116" w:history="1">
        <w:r w:rsidR="00B77B2A">
          <w:rPr>
            <w:noProof/>
          </w:rPr>
          <w:t>Thompson and Matoff, 2003</w:t>
        </w:r>
      </w:hyperlink>
      <w:r w:rsidR="00446388">
        <w:rPr>
          <w:noProof/>
        </w:rPr>
        <w:t>)</w:t>
      </w:r>
      <w:r w:rsidRPr="00313C0B">
        <w:fldChar w:fldCharType="end"/>
      </w:r>
      <w:r w:rsidRPr="00313C0B">
        <w:t>.</w:t>
      </w:r>
    </w:p>
    <w:p w:rsidR="00313C0B" w:rsidRPr="00313C0B" w:rsidRDefault="00313C0B" w:rsidP="00631A58"/>
    <w:p w:rsidR="00313C0B" w:rsidRPr="00313C0B" w:rsidRDefault="00313C0B" w:rsidP="00631A58">
      <w:r w:rsidRPr="00313C0B">
        <w:t xml:space="preserve">Transfer is a fundamental component of transit </w:t>
      </w:r>
      <w:r w:rsidR="005E6D2A">
        <w:t>journey</w:t>
      </w:r>
      <w:r w:rsidRPr="00313C0B">
        <w:t xml:space="preserve">s that allows passengers to switch to different routes or modes to reach their destination. Efficient transfers provided at strategic locations improve transit connectivity and expand spatial coverage of transit systems </w:t>
      </w:r>
      <w:r w:rsidRPr="00313C0B">
        <w:fldChar w:fldCharType="begin"/>
      </w:r>
      <w:r w:rsidR="00446388">
        <w:instrText xml:space="preserve"> ADDIN EN.CITE &lt;EndNote&gt;&lt;Cite&gt;&lt;Author&gt;Luk&lt;/Author&gt;&lt;Year&gt;2003&lt;/Year&gt;&lt;RecNum&gt;218&lt;/RecNum&gt;&lt;DisplayText&gt;(Luk and Olszewski, 2003)&lt;/DisplayText&gt;&lt;record&gt;&lt;rec-number&gt;218&lt;/rec-number&gt;&lt;foreign-keys&gt;&lt;key app="EN" db-id="wt5p2v0d1pes9fetednxdse65xefzpvzzxvf"&gt;218&lt;/key&gt;&lt;/foreign-keys&gt;&lt;ref-type name="Journal Article"&gt;17&lt;/ref-type&gt;&lt;contributors&gt;&lt;authors&gt;&lt;author&gt;Luk, James&lt;/author&gt;&lt;author&gt;Olszewski, Piotr&lt;/author&gt;&lt;/authors&gt;&lt;/contributors&gt;&lt;titles&gt;&lt;title&gt;Integrated public transport in Singapore and Hong Kong&lt;/title&gt;&lt;secondary-title&gt;Road and Transport Research&lt;/secondary-title&gt;&lt;/titles&gt;&lt;periodical&gt;&lt;full-title&gt;Road and Transport Research&lt;/full-title&gt;&lt;/periodical&gt;&lt;pages&gt;41-51&lt;/pages&gt;&lt;volume&gt;12&lt;/volume&gt;&lt;number&gt;4&lt;/number&gt;&lt;keywords&gt;&lt;keyword&gt;Intermodal transport&lt;/keyword&gt;&lt;keyword&gt;Car&lt;/keyword&gt;&lt;keyword&gt;Modal split&lt;/keyword&gt;&lt;keyword&gt;Modal shift&lt;/keyword&gt;&lt;keyword&gt;Public transport&lt;/keyword&gt;&lt;keyword&gt;Transport performance&lt;/keyword&gt;&lt;keyword&gt;Policy&lt;/keyword&gt;&lt;keyword&gt;Urban transport&lt;/keyword&gt;&lt;keyword&gt;Bus&lt;/keyword&gt;&lt;keyword&gt;Developing countries&lt;/keyword&gt;&lt;keyword&gt;Interchange&lt;/keyword&gt;&lt;/keywords&gt;&lt;dates&gt;&lt;year&gt;2003&lt;/year&gt;&lt;/dates&gt;&lt;pub-location&gt;Nunawading&lt;/pub-location&gt;&lt;publisher&gt;ARRB Transport Research Ltd&lt;/publisher&gt;&lt;isbn&gt;1037-5783&lt;/isbn&gt;&lt;urls&gt;&lt;related-urls&gt;&lt;url&gt;http://qut.summon.serialssolutions.com/2.0.0/link/0/eLvHCXMwnV1LS8NAEB58XBTx_ahV2IPXaJLd5nGSIi0tIkKt52Gz2YggabUp-POdyaPUFjx4Sciyh52d3W9nNjPfAEj_1nVWMME1vs5CrU2sPE699LQXhTZKEk32rpvFK_dvDStEre0GJEvkTieGL83vuCCrirygcz_9dLiKFP9trUtqbMI2J5CyM_bkPzfIrGoOzTI1jlaq_GVVlgn0TBhqJtP5bOmQ6R9AE2DQXHl9rOUUrJM4_nfsh7Bf26KiWy2eI9iw-THsLjEUnkAwbOgkUlExYouioUMX77l44Yra9GGFzlMxmORv4pEep_Da740fBk5dasGZElR2HCbBD5kaUCVkUpBJ5GZ0cFkTZuwT6sjQPu0olcXUkmRhphMlXZVKI70kM_Q6gz3NIfl5UabupRcgQhtSt8QmQRiojo0jl1atTAPPkttkTNqCdjM5WG-cGS5mpgU9VgiWpJF2hiQgLgSkVlwIiCQgsoDIAiKruTsi3OphdzwatuCm0ihOK_oO9HHmo4uuVEEsyUD1sfguWnC-0k1G5LET2l3-Ocw27FThfRzgcgVbxdfcXpdJoz8k8OvO&lt;/url&gt;&lt;/related-urls&gt;&lt;/urls&gt;&lt;/record&gt;&lt;/Cite&gt;&lt;/EndNote&gt;</w:instrText>
      </w:r>
      <w:r w:rsidRPr="00313C0B">
        <w:fldChar w:fldCharType="separate"/>
      </w:r>
      <w:r w:rsidR="00446388">
        <w:rPr>
          <w:noProof/>
        </w:rPr>
        <w:t>(</w:t>
      </w:r>
      <w:hyperlink w:anchor="_ENREF_20" w:tooltip="Luk, 2003 #218" w:history="1">
        <w:r w:rsidR="00B77B2A">
          <w:rPr>
            <w:noProof/>
          </w:rPr>
          <w:t>Luk and Olszewski, 2003</w:t>
        </w:r>
      </w:hyperlink>
      <w:r w:rsidR="00446388">
        <w:rPr>
          <w:noProof/>
        </w:rPr>
        <w:t>)</w:t>
      </w:r>
      <w:r w:rsidRPr="00313C0B">
        <w:fldChar w:fldCharType="end"/>
      </w:r>
      <w:r w:rsidRPr="00313C0B">
        <w:t xml:space="preserve">. Despite the benefits that transfers can offer, transfers are often seen as a necessary burden in using public transit </w:t>
      </w:r>
      <w:r w:rsidRPr="00313C0B">
        <w:fldChar w:fldCharType="begin"/>
      </w:r>
      <w:r w:rsidR="00446388">
        <w:instrText xml:space="preserve"> ADDIN EN.CITE &lt;EndNote&gt;&lt;Cite&gt;&lt;Author&gt;Guo&lt;/Author&gt;&lt;Year&gt;2011&lt;/Year&gt;&lt;RecNum&gt;193&lt;/RecNum&gt;&lt;DisplayText&gt;(Guo and Wilson, 2011)&lt;/DisplayText&gt;&lt;record&gt;&lt;rec-number&gt;193&lt;/rec-number&gt;&lt;foreign-keys&gt;&lt;key app="EN" db-id="wt5p2v0d1pes9fetednxdse65xefzpvzzxvf"&gt;193&lt;/key&gt;&lt;/foreign-keys&gt;&lt;ref-type name="Journal Article"&gt;17&lt;/ref-type&gt;&lt;contributors&gt;&lt;authors&gt;&lt;author&gt;Guo, Zhan&lt;/author&gt;&lt;author&gt;Wilson, Nigel&lt;/author&gt;&lt;/authors&gt;&lt;/contributors&gt;&lt;titles&gt;&lt;title&gt;Assessing the cost of transfer inconvenience in public transport systems: A case study of the London Underground&lt;/title&gt;&lt;secondary-title&gt;Transportation Research Part A: Policy and Practice&lt;/secondary-title&gt;&lt;/titles&gt;&lt;periodical&gt;&lt;full-title&gt;Transportation Research Part A: Policy and Practice&lt;/full-title&gt;&lt;/periodical&gt;&lt;pages&gt;91-104&lt;/pages&gt;&lt;volume&gt;45&lt;/volume&gt;&lt;number&gt;2&lt;/number&gt;&lt;keywords&gt;&lt;keyword&gt;Transfer cost&lt;/keyword&gt;&lt;keyword&gt;Transfer penalty&lt;/keyword&gt;&lt;keyword&gt;Path choice&lt;/keyword&gt;&lt;keyword&gt;Public transport&lt;/keyword&gt;&lt;keyword&gt;London Underground&lt;/keyword&gt;&lt;/keywords&gt;&lt;dates&gt;&lt;year&gt;2011&lt;/year&gt;&lt;/dates&gt;&lt;isbn&gt;0965-8564&lt;/isbn&gt;&lt;urls&gt;&lt;related-urls&gt;&lt;url&gt;http://www.sciencedirect.com/science/article/pii/S0965856410001564&lt;/url&gt;&lt;/related-urls&gt;&lt;/urls&gt;&lt;electronic-resource-num&gt;10.1016/j.tra.2010.11.002&lt;/electronic-resource-num&gt;&lt;/record&gt;&lt;/Cite&gt;&lt;/EndNote&gt;</w:instrText>
      </w:r>
      <w:r w:rsidRPr="00313C0B">
        <w:fldChar w:fldCharType="separate"/>
      </w:r>
      <w:r w:rsidR="00446388">
        <w:rPr>
          <w:noProof/>
        </w:rPr>
        <w:t>(</w:t>
      </w:r>
      <w:hyperlink w:anchor="_ENREF_11" w:tooltip="Guo, 2011 #193" w:history="1">
        <w:r w:rsidR="00B77B2A">
          <w:rPr>
            <w:noProof/>
          </w:rPr>
          <w:t>Guo and Wilson, 2011</w:t>
        </w:r>
      </w:hyperlink>
      <w:r w:rsidR="00446388">
        <w:rPr>
          <w:noProof/>
        </w:rPr>
        <w:t>)</w:t>
      </w:r>
      <w:r w:rsidRPr="00313C0B">
        <w:fldChar w:fldCharType="end"/>
      </w:r>
      <w:r w:rsidRPr="00313C0B">
        <w:t>. Inconvenient transfers would deter the use of public transit for potential transit users and reduce the satisfaction level of existing transit users, which ultimately leads to reduction in transit ridership.</w:t>
      </w:r>
    </w:p>
    <w:p w:rsidR="00313C0B" w:rsidRPr="00313C0B" w:rsidRDefault="00313C0B" w:rsidP="00631A58"/>
    <w:p w:rsidR="00313C0B" w:rsidRPr="00313C0B" w:rsidRDefault="00313C0B" w:rsidP="00631A58">
      <w:r w:rsidRPr="00313C0B">
        <w:t xml:space="preserve">The conventional way of quantifying the inconvenience of transfer has been through generalised cost, including monetary costs, time, effort, discomfort and inconvenience involved in transferring </w:t>
      </w:r>
      <w:r w:rsidRPr="00313C0B">
        <w:fldChar w:fldCharType="begin"/>
      </w:r>
      <w:r w:rsidR="00446388">
        <w:instrText xml:space="preserve"> ADDIN EN.CITE &lt;EndNote&gt;&lt;Cite&gt;&lt;Author&gt;Iseki&lt;/Author&gt;&lt;Year&gt;2009&lt;/Year&gt;&lt;RecNum&gt;83&lt;/RecNum&gt;&lt;DisplayText&gt;(Iseki and Taylor, 2009; Kittelson &amp;amp; Associates Inc. et al., 2003)&lt;/DisplayText&gt;&lt;record&gt;&lt;rec-number&gt;83&lt;/rec-number&gt;&lt;foreign-keys&gt;&lt;key app="EN" db-id="wt5p2v0d1pes9fetednxdse65xefzpvzzxvf"&gt;83&lt;/key&gt;&lt;/foreign-keys&gt;&lt;ref-type name="Journal Article"&gt;17&lt;/ref-type&gt;&lt;contributors&gt;&lt;authors&gt;&lt;author&gt;Iseki, Hiroyuki&lt;/author&gt;&lt;author&gt;Taylor, Brian D.&lt;/author&gt;&lt;/authors&gt;&lt;/contributors&gt;&lt;titles&gt;&lt;title&gt;Not all transfers are created equal: Towards a framework relating transfer connectivity to travel behaviour&lt;/title&gt;&lt;secondary-title&gt;Transport Reviews&lt;/secondary-title&gt;&lt;/titles&gt;&lt;periodical&gt;&lt;full-title&gt;Transport Reviews&lt;/full-title&gt;&lt;/periodical&gt;&lt;pages&gt;777-800&lt;/pages&gt;&lt;volume&gt;29&lt;/volume&gt;&lt;number&gt;6&lt;/number&gt;&lt;dates&gt;&lt;year&gt;2009&lt;/year&gt;&lt;/dates&gt;&lt;publisher&gt;Routledge&lt;/publisher&gt;&lt;isbn&gt;0144-1647&lt;/isbn&gt;&lt;urls&gt;&lt;related-urls&gt;&lt;url&gt;http://dx.doi.org/10.1080/01441640902811304&lt;/url&gt;&lt;/related-urls&gt;&lt;/urls&gt;&lt;electronic-resource-num&gt;10.1080/01441640902811304&lt;/electronic-resource-num&gt;&lt;access-date&gt;2013/10/17&lt;/access-date&gt;&lt;/record&gt;&lt;/Cite&gt;&lt;Cite&gt;&lt;Author&gt;Kittelson &amp;amp; Associates Inc.&lt;/Author&gt;&lt;Year&gt;2003&lt;/Year&gt;&lt;RecNum&gt;15&lt;/RecNum&gt;&lt;record&gt;&lt;rec-number&gt;15&lt;/rec-number&gt;&lt;foreign-keys&gt;&lt;key app="EN" db-id="wt5p2v0d1pes9fetednxdse65xefzpvzzxvf"&gt;15&lt;/key&gt;&lt;/foreign-keys&gt;&lt;ref-type name="Report"&gt;27&lt;/ref-type&gt;&lt;contributors&gt;&lt;authors&gt;&lt;author&gt;Kittelson &amp;amp; Associates Inc.,&lt;/author&gt;&lt;author&gt;KFH Group Inc.,&lt;/author&gt;&lt;author&gt;Parsons Brinckerhoff Quade &amp;amp; Douglass Inc,&lt;/author&gt;&lt;author&gt;Katherine Hunter-Zaworski&lt;/author&gt;&lt;/authors&gt;&lt;tertiary-authors&gt;&lt;author&gt;National Academic Press&lt;/author&gt;&lt;/tertiary-authors&gt;&lt;/contributors&gt;&lt;titles&gt;&lt;title&gt;Transit capacity and quality of service manual &lt;/title&gt;&lt;/titles&gt;&lt;edition&gt;2&lt;/edition&gt;&lt;dates&gt;&lt;year&gt;2003&lt;/year&gt;&lt;/dates&gt;&lt;pub-location&gt;Washington, D.C.&lt;/pub-location&gt;&lt;publisher&gt;Texas Transport Institute and Transport Consulting Limited&lt;/publisher&gt;&lt;urls&gt;&lt;related-urls&gt;&lt;url&gt;http://www.trb.org/Main/Blurbs/153590.aspx&lt;/url&gt;&lt;/related-urls&gt;&lt;/urls&gt;&lt;/record&gt;&lt;/Cite&gt;&lt;/EndNote&gt;</w:instrText>
      </w:r>
      <w:r w:rsidRPr="00313C0B">
        <w:fldChar w:fldCharType="separate"/>
      </w:r>
      <w:r w:rsidR="00446388">
        <w:rPr>
          <w:noProof/>
        </w:rPr>
        <w:t>(</w:t>
      </w:r>
      <w:hyperlink w:anchor="_ENREF_15" w:tooltip="Iseki, 2009 #83" w:history="1">
        <w:r w:rsidR="00B77B2A">
          <w:rPr>
            <w:noProof/>
          </w:rPr>
          <w:t>Iseki and Taylor, 2009</w:t>
        </w:r>
      </w:hyperlink>
      <w:r w:rsidR="00446388">
        <w:rPr>
          <w:noProof/>
        </w:rPr>
        <w:t xml:space="preserve">; </w:t>
      </w:r>
      <w:hyperlink w:anchor="_ENREF_17" w:tooltip="Kittelson &amp; Associates Inc., 2003 #15" w:history="1">
        <w:r w:rsidR="00B77B2A">
          <w:rPr>
            <w:noProof/>
          </w:rPr>
          <w:t>Kittelson &amp; Associates Inc. et al., 2003</w:t>
        </w:r>
      </w:hyperlink>
      <w:r w:rsidR="00446388">
        <w:rPr>
          <w:noProof/>
        </w:rPr>
        <w:t>)</w:t>
      </w:r>
      <w:r w:rsidRPr="00313C0B">
        <w:fldChar w:fldCharType="end"/>
      </w:r>
      <w:r w:rsidRPr="00313C0B">
        <w:t xml:space="preserve">. Transfer penalty can be measured as an equivalence of travel time or money saving, which is done by taking the ratio between the coefficients of transfer variables and time or cost variables. This ratio shows how much further people are willing to travel (time without transfer) or how much they are willing to pay (cost), to save one transfer, demonstrating the time and money that must be saved in order to justify one transfer </w:t>
      </w:r>
      <w:r w:rsidRPr="00313C0B">
        <w:fldChar w:fldCharType="begin"/>
      </w:r>
      <w:r w:rsidR="00446388">
        <w:instrText xml:space="preserve"> ADDIN EN.CITE &lt;EndNote&gt;&lt;Cite&gt;&lt;Author&gt;Guo&lt;/Author&gt;&lt;Year&gt;2008&lt;/Year&gt;&lt;RecNum&gt;194&lt;/RecNum&gt;&lt;DisplayText&gt;(Guo and Ferreira, 2008)&lt;/DisplayText&gt;&lt;record&gt;&lt;rec-number&gt;194&lt;/rec-number&gt;&lt;foreign-keys&gt;&lt;key app="EN" db-id="wt5p2v0d1pes9fetednxdse65xefzpvzzxvf"&gt;194&lt;/key&gt;&lt;/foreign-keys&gt;&lt;ref-type name="Journal Article"&gt;17&lt;/ref-type&gt;&lt;contributors&gt;&lt;authors&gt;&lt;author&gt;Guo, Zhan&lt;/author&gt;&lt;author&gt;Ferreira, Joseph&lt;/author&gt;&lt;/authors&gt;&lt;/contributors&gt;&lt;titles&gt;&lt;title&gt;Pedestrian environments, transit path choice, and transfer penalties: Understanding land-use impacts on transit travel&lt;/title&gt;&lt;secondary-title&gt;Environment and Planning B: Planning and Design&lt;/secondary-title&gt;&lt;/titles&gt;&lt;periodical&gt;&lt;full-title&gt;Environment and Planning B: Planning and Design&lt;/full-title&gt;&lt;/periodical&gt;&lt;pages&gt;461-479&lt;/pages&gt;&lt;volume&gt;35&lt;/volume&gt;&lt;number&gt;3&lt;/number&gt;&lt;dates&gt;&lt;year&gt;2008&lt;/year&gt;&lt;/dates&gt;&lt;isbn&gt;0265-8135&lt;/isbn&gt;&lt;urls&gt;&lt;/urls&gt;&lt;electronic-resource-num&gt;10.1068/b33074&lt;/electronic-resource-num&gt;&lt;/record&gt;&lt;/Cite&gt;&lt;/EndNote&gt;</w:instrText>
      </w:r>
      <w:r w:rsidRPr="00313C0B">
        <w:fldChar w:fldCharType="separate"/>
      </w:r>
      <w:r w:rsidR="00446388">
        <w:rPr>
          <w:noProof/>
        </w:rPr>
        <w:t>(</w:t>
      </w:r>
      <w:hyperlink w:anchor="_ENREF_9" w:tooltip="Guo, 2008 #194" w:history="1">
        <w:r w:rsidR="00B77B2A">
          <w:rPr>
            <w:noProof/>
          </w:rPr>
          <w:t>Guo and Ferreira, 2008</w:t>
        </w:r>
      </w:hyperlink>
      <w:r w:rsidR="00446388">
        <w:rPr>
          <w:noProof/>
        </w:rPr>
        <w:t>)</w:t>
      </w:r>
      <w:r w:rsidRPr="00313C0B">
        <w:fldChar w:fldCharType="end"/>
      </w:r>
      <w:r w:rsidRPr="00313C0B">
        <w:t>.</w:t>
      </w:r>
    </w:p>
    <w:p w:rsidR="00313C0B" w:rsidRPr="00313C0B" w:rsidRDefault="00313C0B" w:rsidP="00631A58"/>
    <w:p w:rsidR="00313C0B" w:rsidRPr="00313C0B" w:rsidRDefault="00313C0B" w:rsidP="00631A58">
      <w:r w:rsidRPr="00313C0B">
        <w:t xml:space="preserve">Out-of-vehicle times are shown to be perceived as more onerous than in-vehicle travel time by transit users when making transfers </w:t>
      </w:r>
      <w:r w:rsidRPr="00313C0B">
        <w:fldChar w:fldCharType="begin"/>
      </w:r>
      <w:r w:rsidR="00446388">
        <w:instrText xml:space="preserve"> ADDIN EN.CITE &lt;EndNote&gt;&lt;Cite&gt;&lt;Author&gt;Ceder&lt;/Author&gt;&lt;Year&gt;2013&lt;/Year&gt;&lt;RecNum&gt;196&lt;/RecNum&gt;&lt;DisplayText&gt;(Ceder et al., 2013)&lt;/DisplayText&gt;&lt;record&gt;&lt;rec-number&gt;196&lt;/rec-number&gt;&lt;foreign-keys&gt;&lt;key app="EN" db-id="wt5p2v0d1pes9fetednxdse65xefzpvzzxvf"&gt;196&lt;/key&gt;&lt;/foreign-keys&gt;&lt;ref-type name="Journal Article"&gt;17&lt;/ref-type&gt;&lt;contributors&gt;&lt;authors&gt;&lt;author&gt;Ceder, Avishai&lt;/author&gt;&lt;author&gt;Chowdhury, Subeh&lt;/author&gt;&lt;author&gt;Taghipouran, Nima&lt;/author&gt;&lt;author&gt;Olsen, Jared&lt;/author&gt;&lt;/authors&gt;&lt;/contributors&gt;&lt;titles&gt;&lt;title&gt;Modelling public-transport users’ behaviour at connection point&lt;/title&gt;&lt;secondary-title&gt;Transport Policy&lt;/secondary-title&gt;&lt;/titles&gt;&lt;periodical&gt;&lt;full-title&gt;Transport Policy&lt;/full-title&gt;&lt;/periodical&gt;&lt;pages&gt;112-122&lt;/pages&gt;&lt;volume&gt;27&lt;/volume&gt;&lt;keywords&gt;&lt;keyword&gt;Travel behaviour&lt;/keyword&gt;&lt;keyword&gt;Public transport&lt;/keyword&gt;&lt;keyword&gt;Transfer&lt;/keyword&gt;&lt;keyword&gt;Cumulative prospect theory (CPT)&lt;/keyword&gt;&lt;keyword&gt;Fuzzy logic&lt;/keyword&gt;&lt;/keywords&gt;&lt;dates&gt;&lt;year&gt;2013&lt;/year&gt;&lt;/dates&gt;&lt;isbn&gt;0967-070X&lt;/isbn&gt;&lt;urls&gt;&lt;related-urls&gt;&lt;url&gt;http://www.sciencedirect.com/science/article/pii/S0967070X1300005X&lt;/url&gt;&lt;/related-urls&gt;&lt;/urls&gt;&lt;electronic-resource-num&gt;10.1016/j.tranpol.2013.01.002&lt;/electronic-resource-num&gt;&lt;/record&gt;&lt;/Cite&gt;&lt;/EndNote&gt;</w:instrText>
      </w:r>
      <w:r w:rsidRPr="00313C0B">
        <w:fldChar w:fldCharType="separate"/>
      </w:r>
      <w:r w:rsidR="00446388">
        <w:rPr>
          <w:noProof/>
        </w:rPr>
        <w:t>(</w:t>
      </w:r>
      <w:hyperlink w:anchor="_ENREF_2" w:tooltip="Ceder, 2013 #196" w:history="1">
        <w:r w:rsidR="00B77B2A">
          <w:rPr>
            <w:noProof/>
          </w:rPr>
          <w:t>Ceder et al., 2013</w:t>
        </w:r>
      </w:hyperlink>
      <w:r w:rsidR="00446388">
        <w:rPr>
          <w:noProof/>
        </w:rPr>
        <w:t>)</w:t>
      </w:r>
      <w:r w:rsidRPr="00313C0B">
        <w:fldChar w:fldCharType="end"/>
      </w:r>
      <w:r w:rsidRPr="00313C0B">
        <w:t xml:space="preserve">. In practice, the general rule of thumb is that walking and waiting time are valued twice as much as in-vehicle time </w:t>
      </w:r>
      <w:r w:rsidRPr="00313C0B">
        <w:fldChar w:fldCharType="begin"/>
      </w:r>
      <w:r w:rsidR="00446388">
        <w:instrText xml:space="preserve"> ADDIN EN.CITE &lt;EndNote&gt;&lt;Cite&gt;&lt;Author&gt;Iseki&lt;/Author&gt;&lt;Year&gt;2009&lt;/Year&gt;&lt;RecNum&gt;83&lt;/RecNum&gt;&lt;DisplayText&gt;(Iseki and Taylor, 2009; Wardman et al., 2001)&lt;/DisplayText&gt;&lt;record&gt;&lt;rec-number&gt;83&lt;/rec-number&gt;&lt;foreign-keys&gt;&lt;key app="EN" db-id="wt5p2v0d1pes9fetednxdse65xefzpvzzxvf"&gt;83&lt;/key&gt;&lt;/foreign-keys&gt;&lt;ref-type name="Journal Article"&gt;17&lt;/ref-type&gt;&lt;contributors&gt;&lt;authors&gt;&lt;author&gt;Iseki, Hiroyuki&lt;/author&gt;&lt;author&gt;Taylor, Brian D.&lt;/author&gt;&lt;/authors&gt;&lt;/contributors&gt;&lt;titles&gt;&lt;title&gt;Not all transfers are created equal: Towards a framework relating transfer connectivity to travel behaviour&lt;/title&gt;&lt;secondary-title&gt;Transport Reviews&lt;/secondary-title&gt;&lt;/titles&gt;&lt;periodical&gt;&lt;full-title&gt;Transport Reviews&lt;/full-title&gt;&lt;/periodical&gt;&lt;pages&gt;777-800&lt;/pages&gt;&lt;volume&gt;29&lt;/volume&gt;&lt;number&gt;6&lt;/number&gt;&lt;dates&gt;&lt;year&gt;2009&lt;/year&gt;&lt;/dates&gt;&lt;publisher&gt;Routledge&lt;/publisher&gt;&lt;isbn&gt;0144-1647&lt;/isbn&gt;&lt;urls&gt;&lt;related-urls&gt;&lt;url&gt;http://dx.doi.org/10.1080/01441640902811304&lt;/url&gt;&lt;/related-urls&gt;&lt;/urls&gt;&lt;electronic-resource-num&gt;10.1080/01441640902811304&lt;/electronic-resource-num&gt;&lt;access-date&gt;2013/10/17&lt;/access-date&gt;&lt;/record&gt;&lt;/Cite&gt;&lt;Cite&gt;&lt;Author&gt;Wardman&lt;/Author&gt;&lt;Year&gt;2001&lt;/Year&gt;&lt;RecNum&gt;198&lt;/RecNum&gt;&lt;record&gt;&lt;rec-number&gt;198&lt;/rec-number&gt;&lt;foreign-keys&gt;&lt;key app="EN" db-id="wt5p2v0d1pes9fetednxdse65xefzpvzzxvf"&gt;198&lt;/key&gt;&lt;/foreign-keys&gt;&lt;ref-type name="Report"&gt;27&lt;/ref-type&gt;&lt;contributors&gt;&lt;authors&gt;&lt;author&gt;Wardman, Mark&lt;/author&gt;&lt;author&gt;Hine, Julian&lt;/author&gt;&lt;author&gt;Stradling, Stephen&lt;/author&gt;&lt;/authors&gt;&lt;/contributors&gt;&lt;titles&gt;&lt;title&gt;Interchange and travel choice&lt;/title&gt;&lt;/titles&gt;&lt;volume&gt;1&lt;/volume&gt;&lt;dates&gt;&lt;year&gt;2001&lt;/year&gt;&lt;/dates&gt;&lt;publisher&gt;Scottish Execuive Central Research Unit&lt;/publisher&gt;&lt;urls&gt;&lt;/urls&gt;&lt;/record&gt;&lt;/Cite&gt;&lt;/EndNote&gt;</w:instrText>
      </w:r>
      <w:r w:rsidRPr="00313C0B">
        <w:fldChar w:fldCharType="separate"/>
      </w:r>
      <w:r w:rsidR="00446388">
        <w:rPr>
          <w:noProof/>
        </w:rPr>
        <w:t>(</w:t>
      </w:r>
      <w:hyperlink w:anchor="_ENREF_15" w:tooltip="Iseki, 2009 #83" w:history="1">
        <w:r w:rsidR="00B77B2A">
          <w:rPr>
            <w:noProof/>
          </w:rPr>
          <w:t>Iseki and Taylor, 2009</w:t>
        </w:r>
      </w:hyperlink>
      <w:r w:rsidR="00446388">
        <w:rPr>
          <w:noProof/>
        </w:rPr>
        <w:t xml:space="preserve">; </w:t>
      </w:r>
      <w:hyperlink w:anchor="_ENREF_33" w:tooltip="Wardman, 2001 #198" w:history="1">
        <w:r w:rsidR="00B77B2A">
          <w:rPr>
            <w:noProof/>
          </w:rPr>
          <w:t>Wardman et al., 2001</w:t>
        </w:r>
      </w:hyperlink>
      <w:r w:rsidR="00446388">
        <w:rPr>
          <w:noProof/>
        </w:rPr>
        <w:t>)</w:t>
      </w:r>
      <w:r w:rsidRPr="00313C0B">
        <w:fldChar w:fldCharType="end"/>
      </w:r>
      <w:r w:rsidRPr="00313C0B">
        <w:t xml:space="preserve">. A study conducted by </w:t>
      </w:r>
      <w:r w:rsidRPr="00313C0B">
        <w:fldChar w:fldCharType="begin"/>
      </w:r>
      <w:r w:rsidR="00446388">
        <w:instrText xml:space="preserve"> ADDIN EN.CITE &lt;EndNote&gt;&lt;Cite AuthorYear="1"&gt;&lt;Author&gt;Wardman&lt;/Author&gt;&lt;Year&gt;2001&lt;/Year&gt;&lt;RecNum&gt;198&lt;/RecNum&gt;&lt;DisplayText&gt;Wardman et al. (2001)&lt;/DisplayText&gt;&lt;record&gt;&lt;rec-number&gt;198&lt;/rec-number&gt;&lt;foreign-keys&gt;&lt;key app="EN" db-id="wt5p2v0d1pes9fetednxdse65xefzpvzzxvf"&gt;198&lt;/key&gt;&lt;/foreign-keys&gt;&lt;ref-type name="Report"&gt;27&lt;/ref-type&gt;&lt;contributors&gt;&lt;authors&gt;&lt;author&gt;Wardman, Mark&lt;/author&gt;&lt;author&gt;Hine, Julian&lt;/author&gt;&lt;author&gt;Stradling, Stephen&lt;/author&gt;&lt;/authors&gt;&lt;/contributors&gt;&lt;titles&gt;&lt;title&gt;Interchange and travel choice&lt;/title&gt;&lt;/titles&gt;&lt;volume&gt;1&lt;/volume&gt;&lt;dates&gt;&lt;year&gt;2001&lt;/year&gt;&lt;/dates&gt;&lt;publisher&gt;Scottish Execuive Central Research Unit&lt;/publisher&gt;&lt;urls&gt;&lt;/urls&gt;&lt;/record&gt;&lt;/Cite&gt;&lt;/EndNote&gt;</w:instrText>
      </w:r>
      <w:r w:rsidRPr="00313C0B">
        <w:fldChar w:fldCharType="separate"/>
      </w:r>
      <w:hyperlink w:anchor="_ENREF_33" w:tooltip="Wardman, 2001 #198" w:history="1">
        <w:r w:rsidR="00B77B2A">
          <w:rPr>
            <w:noProof/>
          </w:rPr>
          <w:t>Wardman et al. (2001</w:t>
        </w:r>
      </w:hyperlink>
      <w:r w:rsidR="00446388">
        <w:rPr>
          <w:noProof/>
        </w:rPr>
        <w:t>)</w:t>
      </w:r>
      <w:r w:rsidRPr="00313C0B">
        <w:fldChar w:fldCharType="end"/>
      </w:r>
      <w:r w:rsidRPr="00313C0B">
        <w:t xml:space="preserve"> suggests that bus users value the wait time about 1.2 times higher than the in-vehicle travel time and the walk time 1.6 times higher than the value of in-vehicle travel time. Generally, transfer waiting time is also valued higher than transfer walking time </w:t>
      </w:r>
      <w:r w:rsidRPr="00313C0B">
        <w:fldChar w:fldCharType="begin">
          <w:fldData xml:space="preserve">PEVuZE5vdGU+PENpdGU+PEF1dGhvcj5Jc2VraTwvQXV0aG9yPjxZZWFyPjIwMDk8L1llYXI+PFJl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</w:fldData>
        </w:fldChar>
      </w:r>
      <w:r w:rsidR="00446388">
        <w:instrText xml:space="preserve"> ADDIN EN.CITE </w:instrText>
      </w:r>
      <w:r w:rsidR="00446388">
        <w:fldChar w:fldCharType="begin">
          <w:fldData xml:space="preserve">PEVuZE5vdGU+PENpdGU+PEF1dGhvcj5Jc2VraTwvQXV0aG9yPjxZZWFyPjIwMDk8L1llYXI+PFJl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</w:fldData>
        </w:fldChar>
      </w:r>
      <w:r w:rsidR="00446388">
        <w:instrText xml:space="preserve"> ADDIN EN.CITE.DATA </w:instrText>
      </w:r>
      <w:r w:rsidR="00446388">
        <w:fldChar w:fldCharType="end"/>
      </w:r>
      <w:r w:rsidRPr="00313C0B">
        <w:fldChar w:fldCharType="separate"/>
      </w:r>
      <w:r w:rsidR="00446388">
        <w:rPr>
          <w:noProof/>
        </w:rPr>
        <w:t>(</w:t>
      </w:r>
      <w:hyperlink w:anchor="_ENREF_15" w:tooltip="Iseki, 2009 #83" w:history="1">
        <w:r w:rsidR="00B77B2A">
          <w:rPr>
            <w:noProof/>
          </w:rPr>
          <w:t>Iseki and Taylor, 2009</w:t>
        </w:r>
      </w:hyperlink>
      <w:r w:rsidR="00446388">
        <w:rPr>
          <w:noProof/>
        </w:rPr>
        <w:t xml:space="preserve">; </w:t>
      </w:r>
      <w:hyperlink w:anchor="_ENREF_31" w:tooltip="Vande Walle, 2006 #197" w:history="1">
        <w:r w:rsidR="00B77B2A">
          <w:rPr>
            <w:noProof/>
          </w:rPr>
          <w:t>Vande Walle and Steenberghen, 2006</w:t>
        </w:r>
      </w:hyperlink>
      <w:r w:rsidR="00446388">
        <w:rPr>
          <w:noProof/>
        </w:rPr>
        <w:t>)</w:t>
      </w:r>
      <w:r w:rsidRPr="00313C0B">
        <w:fldChar w:fldCharType="end"/>
      </w:r>
      <w:r w:rsidRPr="00313C0B">
        <w:t>.</w:t>
      </w:r>
    </w:p>
    <w:p w:rsidR="00313C0B" w:rsidRPr="00313C0B" w:rsidRDefault="00313C0B" w:rsidP="00631A58"/>
    <w:p w:rsidR="00313C0B" w:rsidRPr="00313C0B" w:rsidRDefault="00313C0B" w:rsidP="00631A58">
      <w:r w:rsidRPr="00313C0B">
        <w:t xml:space="preserve">Operational factors such as the service reliability, headways regularity, on-time performance of service and the availability of adequate information affect the level of transfer penalty </w:t>
      </w:r>
      <w:r w:rsidRPr="00313C0B">
        <w:fldChar w:fldCharType="begin"/>
      </w:r>
      <w:r w:rsidR="00446388">
        <w:instrText xml:space="preserve"> ADDIN EN.CITE &lt;EndNote&gt;&lt;Cite&gt;&lt;Author&gt;Iseki&lt;/Author&gt;&lt;Year&gt;2009&lt;/Year&gt;&lt;RecNum&gt;83&lt;/RecNum&gt;&lt;DisplayText&gt;(Iseki and Taylor, 2009)&lt;/DisplayText&gt;&lt;record&gt;&lt;rec-number&gt;83&lt;/rec-number&gt;&lt;foreign-keys&gt;&lt;key app="EN" db-id="wt5p2v0d1pes9fetednxdse65xefzpvzzxvf"&gt;83&lt;/key&gt;&lt;/foreign-keys&gt;&lt;ref-type name="Journal Article"&gt;17&lt;/ref-type&gt;&lt;contributors&gt;&lt;authors&gt;&lt;author&gt;Iseki, Hiroyuki&lt;/author&gt;&lt;author&gt;Taylor, Brian D.&lt;/author&gt;&lt;/authors&gt;&lt;/contributors&gt;&lt;titles&gt;&lt;title&gt;Not all transfers are created equal: Towards a framework relating transfer connectivity to travel behaviour&lt;/title&gt;&lt;secondary-title&gt;Transport Reviews&lt;/secondary-title&gt;&lt;/titles&gt;&lt;periodical&gt;&lt;full-title&gt;Transport Reviews&lt;/full-title&gt;&lt;/periodical&gt;&lt;pages&gt;777-800&lt;/pages&gt;&lt;volume&gt;29&lt;/volume&gt;&lt;number&gt;6&lt;/number&gt;&lt;dates&gt;&lt;year&gt;2009&lt;/year&gt;&lt;/dates&gt;&lt;publisher&gt;Routledge&lt;/publisher&gt;&lt;isbn&gt;0144-1647&lt;/isbn&gt;&lt;urls&gt;&lt;related-urls&gt;&lt;url&gt;http://dx.doi.org/10.1080/01441640902811304&lt;/url&gt;&lt;/related-urls&gt;&lt;/urls&gt;&lt;electronic-resource-num&gt;10.1080/01441640902811304&lt;/electronic-resource-num&gt;&lt;access-date&gt;2013/10/17&lt;/access-date&gt;&lt;/record&gt;&lt;/Cite&gt;&lt;/EndNote&gt;</w:instrText>
      </w:r>
      <w:r w:rsidRPr="00313C0B">
        <w:fldChar w:fldCharType="separate"/>
      </w:r>
      <w:r w:rsidR="00446388">
        <w:rPr>
          <w:noProof/>
        </w:rPr>
        <w:t>(</w:t>
      </w:r>
      <w:hyperlink w:anchor="_ENREF_15" w:tooltip="Iseki, 2009 #83" w:history="1">
        <w:r w:rsidR="00B77B2A">
          <w:rPr>
            <w:noProof/>
          </w:rPr>
          <w:t>Iseki and Taylor, 2009</w:t>
        </w:r>
      </w:hyperlink>
      <w:r w:rsidR="00446388">
        <w:rPr>
          <w:noProof/>
        </w:rPr>
        <w:t>)</w:t>
      </w:r>
      <w:r w:rsidRPr="00313C0B">
        <w:fldChar w:fldCharType="end"/>
      </w:r>
      <w:r w:rsidRPr="00313C0B">
        <w:t xml:space="preserve">. Providing a guaranteed connection could significantly reduce transfer penalty and similarly, providing a through ticket for transfer could reduce transfer penalty </w:t>
      </w:r>
      <w:r w:rsidRPr="00313C0B">
        <w:fldChar w:fldCharType="begin"/>
      </w:r>
      <w:r w:rsidR="00446388">
        <w:instrText xml:space="preserve"> ADDIN EN.CITE &lt;EndNote&gt;&lt;Cite&gt;&lt;Author&gt;Wardman&lt;/Author&gt;&lt;Year&gt;2001&lt;/Year&gt;&lt;RecNum&gt;198&lt;/RecNum&gt;&lt;DisplayText&gt;(Wardman et al., 2001)&lt;/DisplayText&gt;&lt;record&gt;&lt;rec-number&gt;198&lt;/rec-number&gt;&lt;foreign-keys&gt;&lt;key app="EN" db-id="wt5p2v0d1pes9fetednxdse65xefzpvzzxvf"&gt;198&lt;/key&gt;&lt;/foreign-keys&gt;&lt;ref-type name="Report"&gt;27&lt;/ref-type&gt;&lt;contributors&gt;&lt;authors&gt;&lt;author&gt;Wardman, Mark&lt;/author&gt;&lt;author&gt;Hine, Julian&lt;/author&gt;&lt;author&gt;Stradling, Stephen&lt;/author&gt;&lt;/authors&gt;&lt;/contributors&gt;&lt;titles&gt;&lt;title&gt;Interchange and travel choice&lt;/title&gt;&lt;/titles&gt;&lt;volume&gt;1&lt;/volume&gt;&lt;dates&gt;&lt;year&gt;2001&lt;/year&gt;&lt;/dates&gt;&lt;publisher&gt;Scottish Execuive Central Research Unit&lt;/publisher&gt;&lt;urls&gt;&lt;/urls&gt;&lt;/record&gt;&lt;/Cite&gt;&lt;/EndNote&gt;</w:instrText>
      </w:r>
      <w:r w:rsidRPr="00313C0B">
        <w:fldChar w:fldCharType="separate"/>
      </w:r>
      <w:r w:rsidR="00446388">
        <w:rPr>
          <w:noProof/>
        </w:rPr>
        <w:t>(</w:t>
      </w:r>
      <w:hyperlink w:anchor="_ENREF_33" w:tooltip="Wardman, 2001 #198" w:history="1">
        <w:r w:rsidR="00B77B2A">
          <w:rPr>
            <w:noProof/>
          </w:rPr>
          <w:t>Wardman et al., 2001</w:t>
        </w:r>
      </w:hyperlink>
      <w:r w:rsidR="00446388">
        <w:rPr>
          <w:noProof/>
        </w:rPr>
        <w:t>)</w:t>
      </w:r>
      <w:r w:rsidRPr="00313C0B">
        <w:fldChar w:fldCharType="end"/>
      </w:r>
      <w:r w:rsidRPr="00313C0B">
        <w:t xml:space="preserve">. An empirical study conducted in Haifa, Israel demonstrated that waiving a transfer fee resulted in a significant increase in the transit ridership </w:t>
      </w:r>
      <w:r w:rsidRPr="00313C0B">
        <w:fldChar w:fldCharType="begin"/>
      </w:r>
      <w:r w:rsidR="00446388">
        <w:instrText xml:space="preserve"> ADDIN EN.CITE &lt;EndNote&gt;&lt;Cite&gt;&lt;Author&gt;Sharaby&lt;/Author&gt;&lt;Year&gt;2012&lt;/Year&gt;&lt;RecNum&gt;200&lt;/RecNum&gt;&lt;DisplayText&gt;(Sharaby and Shiftan, 2012)&lt;/DisplayText&gt;&lt;record&gt;&lt;rec-number&gt;200&lt;/rec-number&gt;&lt;foreign-keys&gt;&lt;key app="EN" db-id="wt5p2v0d1pes9fetednxdse65xefzpvzzxvf"&gt;200&lt;/key&gt;&lt;/foreign-keys&gt;&lt;ref-type name="Journal Article"&gt;17&lt;/ref-type&gt;&lt;contributors&gt;&lt;authors&gt;&lt;author&gt;Sharaby, Nir&lt;/author&gt;&lt;author&gt;Shiftan, Yoram&lt;/author&gt;&lt;/authors&gt;&lt;/contributors&gt;&lt;titles&gt;&lt;title&gt;The impact of fare integration on travel behavior and transit ridership&lt;/title&gt;&lt;secondary-title&gt;Transport Policy&lt;/secondary-title&gt;&lt;/titles&gt;&lt;periodical&gt;&lt;full-title&gt;Transport Policy&lt;/full-title&gt;&lt;/periodical&gt;&lt;pages&gt;63-70&lt;/pages&gt;&lt;volume&gt;21&lt;/volume&gt;&lt;keywords&gt;&lt;keyword&gt;Fare integration&lt;/keyword&gt;&lt;keyword&gt;Travel behavior&lt;/keyword&gt;&lt;keyword&gt;Transit ridership&lt;/keyword&gt;&lt;keyword&gt;Survey&lt;/keyword&gt;&lt;/keywords&gt;&lt;dates&gt;&lt;year&gt;2012&lt;/year&gt;&lt;/dates&gt;&lt;isbn&gt;0967-070X&lt;/isbn&gt;&lt;urls&gt;&lt;related-urls&gt;&lt;url&gt;http://www.sciencedirect.com/science/article/pii/S0967070X12000169&lt;/url&gt;&lt;/related-urls&gt;&lt;/urls&gt;&lt;electronic-resource-num&gt;10.1016/j.tranpol.2012.01.015&lt;/electronic-resource-num&gt;&lt;/record&gt;&lt;/Cite&gt;&lt;/EndNote&gt;</w:instrText>
      </w:r>
      <w:r w:rsidRPr="00313C0B">
        <w:fldChar w:fldCharType="separate"/>
      </w:r>
      <w:r w:rsidR="00446388">
        <w:rPr>
          <w:noProof/>
        </w:rPr>
        <w:t>(</w:t>
      </w:r>
      <w:hyperlink w:anchor="_ENREF_28" w:tooltip="Sharaby, 2012 #200" w:history="1">
        <w:r w:rsidR="00B77B2A">
          <w:rPr>
            <w:noProof/>
          </w:rPr>
          <w:t>Sharaby and Shiftan, 2012</w:t>
        </w:r>
      </w:hyperlink>
      <w:r w:rsidR="00446388">
        <w:rPr>
          <w:noProof/>
        </w:rPr>
        <w:t>)</w:t>
      </w:r>
      <w:r w:rsidRPr="00313C0B">
        <w:fldChar w:fldCharType="end"/>
      </w:r>
      <w:r w:rsidRPr="00313C0B">
        <w:t xml:space="preserve">. Another study conducted in metropolitan Los Angeles showed that user satisfaction with a transfer facility has little to do with the physical characteristics of the facility, but service frequency and reliability are more important factors for user satisfaction </w:t>
      </w:r>
      <w:r w:rsidRPr="00313C0B">
        <w:fldChar w:fldCharType="begin"/>
      </w:r>
      <w:r w:rsidR="00446388">
        <w:instrText xml:space="preserve"> ADDIN EN.CITE &lt;EndNote&gt;&lt;Cite&gt;&lt;Author&gt;Iseki&lt;/Author&gt;&lt;Year&gt;2010&lt;/Year&gt;&lt;RecNum&gt;199&lt;/RecNum&gt;&lt;DisplayText&gt;(Iseki and Taylor, 2010)&lt;/DisplayText&gt;&lt;record&gt;&lt;rec-number&gt;199&lt;/rec-number&gt;&lt;foreign-keys&gt;&lt;key app="EN" db-id="wt5p2v0d1pes9fetednxdse65xefzpvzzxvf"&gt;199&lt;/key&gt;&lt;/foreign-keys&gt;&lt;ref-type name="Journal Article"&gt;17&lt;/ref-type&gt;&lt;contributors&gt;&lt;authors&gt;&lt;author&gt;Iseki, Hiroyuki&lt;/author&gt;&lt;author&gt;Taylor, Brian D&lt;/author&gt;&lt;/authors&gt;&lt;/contributors&gt;&lt;titles&gt;&lt;title&gt;Style versus service? An analysis of user perceptions of transit stops and stations&lt;/title&gt;&lt;secondary-title&gt;Journal of Public Transportation&lt;/secondary-title&gt;&lt;/titles&gt;&lt;periodical&gt;&lt;full-title&gt;Journal of public transportation&lt;/full-title&gt;&lt;/periodical&gt;&lt;pages&gt;2&lt;/pages&gt;&lt;volume&gt;13&lt;/volume&gt;&lt;number&gt;3&lt;/number&gt;&lt;dates&gt;&lt;year&gt;2010&lt;/year&gt;&lt;/dates&gt;&lt;isbn&gt;1077-291X&lt;/isbn&gt;&lt;urls&gt;&lt;/urls&gt;&lt;electronic-resource-num&gt;10.5038/2375-0901.13.3.2&lt;/electronic-resource-num&gt;&lt;/record&gt;&lt;/Cite&gt;&lt;/EndNote&gt;</w:instrText>
      </w:r>
      <w:r w:rsidRPr="00313C0B">
        <w:fldChar w:fldCharType="separate"/>
      </w:r>
      <w:r w:rsidR="00446388">
        <w:rPr>
          <w:noProof/>
        </w:rPr>
        <w:t>(</w:t>
      </w:r>
      <w:hyperlink w:anchor="_ENREF_16" w:tooltip="Iseki, 2010 #199" w:history="1">
        <w:r w:rsidR="00B77B2A">
          <w:rPr>
            <w:noProof/>
          </w:rPr>
          <w:t>Iseki and Taylor, 2010</w:t>
        </w:r>
      </w:hyperlink>
      <w:r w:rsidR="00446388">
        <w:rPr>
          <w:noProof/>
        </w:rPr>
        <w:t>)</w:t>
      </w:r>
      <w:r w:rsidRPr="00313C0B">
        <w:fldChar w:fldCharType="end"/>
      </w:r>
      <w:r w:rsidRPr="00313C0B">
        <w:t xml:space="preserve">. Service frequency, schedule adherence and schedule information will affect both actual and perceived waiting time during transfers </w:t>
      </w:r>
      <w:r w:rsidRPr="00313C0B">
        <w:fldChar w:fldCharType="begin">
          <w:fldData xml:space="preserve">PEVuZE5vdGU+PENpdGU+PEF1dGhvcj5Jc2VraTwvQXV0aG9yPjxZZWFyPjIwMDk8L1llYXI+PFJl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</w:fldData>
        </w:fldChar>
      </w:r>
      <w:r w:rsidR="00446388">
        <w:instrText xml:space="preserve"> ADDIN EN.CITE </w:instrText>
      </w:r>
      <w:r w:rsidR="00446388">
        <w:fldChar w:fldCharType="begin">
          <w:fldData xml:space="preserve">PEVuZE5vdGU+PENpdGU+PEF1dGhvcj5Jc2VraTwvQXV0aG9yPjxZZWFyPjIwMDk8L1llYXI+PFJl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</w:fldData>
        </w:fldChar>
      </w:r>
      <w:r w:rsidR="00446388">
        <w:instrText xml:space="preserve"> ADDIN EN.CITE.DATA </w:instrText>
      </w:r>
      <w:r w:rsidR="00446388">
        <w:fldChar w:fldCharType="end"/>
      </w:r>
      <w:r w:rsidRPr="00313C0B">
        <w:fldChar w:fldCharType="separate"/>
      </w:r>
      <w:r w:rsidR="00446388">
        <w:rPr>
          <w:noProof/>
        </w:rPr>
        <w:t>(</w:t>
      </w:r>
      <w:hyperlink w:anchor="_ENREF_2" w:tooltip="Ceder, 2013 #196" w:history="1">
        <w:r w:rsidR="00B77B2A">
          <w:rPr>
            <w:noProof/>
          </w:rPr>
          <w:t>Ceder et al., 2013</w:t>
        </w:r>
      </w:hyperlink>
      <w:r w:rsidR="00446388">
        <w:rPr>
          <w:noProof/>
        </w:rPr>
        <w:t xml:space="preserve">; </w:t>
      </w:r>
      <w:hyperlink w:anchor="_ENREF_15" w:tooltip="Iseki, 2009 #83" w:history="1">
        <w:r w:rsidR="00B77B2A">
          <w:rPr>
            <w:noProof/>
          </w:rPr>
          <w:t>Iseki and Taylor, 2009</w:t>
        </w:r>
      </w:hyperlink>
      <w:r w:rsidR="00446388">
        <w:rPr>
          <w:noProof/>
        </w:rPr>
        <w:t xml:space="preserve">; </w:t>
      </w:r>
      <w:hyperlink w:anchor="_ENREF_21" w:tooltip="Mishalani, 2006 #203" w:history="1">
        <w:r w:rsidR="00B77B2A">
          <w:rPr>
            <w:noProof/>
          </w:rPr>
          <w:t>Mishalani et al., 2006</w:t>
        </w:r>
      </w:hyperlink>
      <w:r w:rsidR="00446388">
        <w:rPr>
          <w:noProof/>
        </w:rPr>
        <w:t>)</w:t>
      </w:r>
      <w:r w:rsidRPr="00313C0B">
        <w:fldChar w:fldCharType="end"/>
      </w:r>
      <w:r w:rsidRPr="00313C0B">
        <w:t xml:space="preserve">. A study by </w:t>
      </w:r>
      <w:r w:rsidRPr="00313C0B">
        <w:fldChar w:fldCharType="begin"/>
      </w:r>
      <w:r w:rsidRPr="00313C0B">
        <w:instrText xml:space="preserve"> ADDIN EN.CITE &lt;EndNote&gt;&lt;Cite AuthorYear="1"&gt;&lt;Author&gt;Currie&lt;/Author&gt;&lt;Year&gt;2010&lt;/Year&gt;&lt;RecNum&gt;124&lt;/RecNum&gt;&lt;DisplayText&gt;Currie and Loader (2010)&lt;/DisplayText&gt;&lt;record&gt;&lt;rec-number&gt;124&lt;/rec-number&gt;&lt;foreign-keys&gt;&lt;key app="EN" db-id="wt5p2v0d1pes9fetednxdse65xefzpvzzxvf"&gt;124&lt;/key&gt;&lt;/foreign-keys&gt;&lt;ref-type name="Journal Article"&gt;17&lt;/ref-type&gt;&lt;contributors&gt;&lt;authors&gt;&lt;author&gt;Currie, Graham&lt;/author&gt;&lt;author&gt;Loader, Chris&lt;/author&gt;&lt;/authors&gt;&lt;/contributors&gt;&lt;titles&gt;&lt;title&gt;Bus network planning for transfers and the network effect in Melbourne, Australia&lt;/title&gt;&lt;secondary-title&gt;Transportation Research Record&lt;/secondary-title&gt;&lt;/titles&gt;&lt;periodical&gt;&lt;full-title&gt;Transportation Research Record&lt;/full-title&gt;&lt;/periodical&gt;&lt;pages&gt;8-17&lt;/pages&gt;&lt;volume&gt;2145&lt;/volume&gt;&lt;number&gt;1&lt;/number&gt;&lt;dates&gt;&lt;year&gt;2010&lt;/year&gt;&lt;/dates&gt;&lt;isbn&gt;0361-1981&lt;/isbn&gt;&lt;urls&gt;&lt;/urls&gt;&lt;electronic-resource-num&gt;10.3141/2145-02&lt;/electronic-resource-num&gt;&lt;/record&gt;&lt;/Cite&gt;&lt;/EndNote&gt;</w:instrText>
      </w:r>
      <w:r w:rsidRPr="00313C0B">
        <w:fldChar w:fldCharType="separate"/>
      </w:r>
      <w:hyperlink w:anchor="_ENREF_7" w:tooltip="Currie, 2010 #124" w:history="1">
        <w:r w:rsidR="00B77B2A" w:rsidRPr="00313C0B">
          <w:t>Currie and Loader (2010</w:t>
        </w:r>
      </w:hyperlink>
      <w:r w:rsidRPr="00313C0B">
        <w:t>)</w:t>
      </w:r>
      <w:r w:rsidRPr="00313C0B">
        <w:fldChar w:fldCharType="end"/>
      </w:r>
      <w:r w:rsidRPr="00313C0B">
        <w:t xml:space="preserve"> found that the volume of transfers could significantly increase along a major transit route when the service headway is 10 minutes or shorter </w:t>
      </w:r>
      <w:r w:rsidRPr="00313C0B">
        <w:fldChar w:fldCharType="begin"/>
      </w:r>
      <w:r w:rsidR="00446388">
        <w:instrText xml:space="preserve"> ADDIN EN.CITE &lt;EndNote&gt;&lt;Cite&gt;&lt;Author&gt;Currie&lt;/Author&gt;&lt;Year&gt;2010&lt;/Year&gt;&lt;RecNum&gt;124&lt;/RecNum&gt;&lt;DisplayText&gt;(Currie and Loader, 2010)&lt;/DisplayText&gt;&lt;record&gt;&lt;rec-number&gt;124&lt;/rec-number&gt;&lt;foreign-keys&gt;&lt;key app="EN" db-id="wt5p2v0d1pes9fetednxdse65xefzpvzzxvf"&gt;124&lt;/key&gt;&lt;/foreign-keys&gt;&lt;ref-type name="Journal Article"&gt;17&lt;/ref-type&gt;&lt;contributors&gt;&lt;authors&gt;&lt;author&gt;Currie, Graham&lt;/author&gt;&lt;author&gt;Loader, Chris&lt;/author&gt;&lt;/authors&gt;&lt;/contributors&gt;&lt;titles&gt;&lt;title&gt;Bus network planning for transfers and the network effect in Melbourne, Australia&lt;/title&gt;&lt;secondary-title&gt;Transportation Research Record&lt;/secondary-title&gt;&lt;/titles&gt;&lt;periodical&gt;&lt;full-title&gt;Transportation Research Record&lt;/full-title&gt;&lt;/periodical&gt;&lt;pages&gt;8-17&lt;/pages&gt;&lt;volume&gt;2145&lt;/volume&gt;&lt;number&gt;1&lt;/number&gt;&lt;dates&gt;&lt;year&gt;2010&lt;/year&gt;&lt;/dates&gt;&lt;isbn&gt;0361-1981&lt;/isbn&gt;&lt;urls&gt;&lt;/urls&gt;&lt;electronic-resource-num&gt;10.3141/2145-02&lt;/electronic-resource-num&gt;&lt;/record&gt;&lt;/Cite&gt;&lt;/EndNote&gt;</w:instrText>
      </w:r>
      <w:r w:rsidRPr="00313C0B">
        <w:fldChar w:fldCharType="separate"/>
      </w:r>
      <w:r w:rsidR="00446388">
        <w:rPr>
          <w:noProof/>
        </w:rPr>
        <w:t>(</w:t>
      </w:r>
      <w:hyperlink w:anchor="_ENREF_7" w:tooltip="Currie, 2010 #124" w:history="1">
        <w:r w:rsidR="00B77B2A">
          <w:rPr>
            <w:noProof/>
          </w:rPr>
          <w:t>Currie and Loader, 2010</w:t>
        </w:r>
      </w:hyperlink>
      <w:r w:rsidR="00446388">
        <w:rPr>
          <w:noProof/>
        </w:rPr>
        <w:t>)</w:t>
      </w:r>
      <w:r w:rsidRPr="00313C0B">
        <w:fldChar w:fldCharType="end"/>
      </w:r>
      <w:r w:rsidRPr="00313C0B">
        <w:t>.</w:t>
      </w:r>
    </w:p>
    <w:p w:rsidR="00313C0B" w:rsidRPr="00313C0B" w:rsidRDefault="00313C0B" w:rsidP="00631A58"/>
    <w:p w:rsidR="00313C0B" w:rsidRPr="00313C0B" w:rsidRDefault="00313C0B" w:rsidP="00631A58">
      <w:r w:rsidRPr="00313C0B">
        <w:t xml:space="preserve">Physical environmental factors such as physical attributes of stops and stations could potentially affect the quality of transfer services. </w:t>
      </w:r>
      <w:r w:rsidRPr="00313C0B">
        <w:fldChar w:fldCharType="begin"/>
      </w:r>
      <w:r w:rsidRPr="00313C0B">
        <w:instrText xml:space="preserve"> ADDIN EN.CITE &lt;EndNote&gt;&lt;Cite AuthorYear="1"&gt;&lt;Author&gt;Guo&lt;/Author&gt;&lt;Year&gt;2004&lt;/Year&gt;&lt;RecNum&gt;158&lt;/RecNum&gt;&lt;DisplayText&gt;Guo and Wilson (2004)&lt;/DisplayText&gt;&lt;record&gt;&lt;rec-number&gt;158&lt;/rec-number&gt;&lt;foreign-keys&gt;&lt;key app="EN" db-id="wt5p2v0d1pes9fetednxdse65xefzpvzzxvf"&gt;158&lt;/key&gt;&lt;/foreign-keys&gt;&lt;ref-type name="Journal Article"&gt;17&lt;/ref-type&gt;&lt;contributors&gt;&lt;authors&gt;&lt;author&gt;Guo, Zhan&lt;/author&gt;&lt;author&gt;Wilson, Nigel&lt;/author&gt;&lt;/authors&gt;&lt;/contributors&gt;&lt;titles&gt;&lt;title&gt;Assessment of the transfer penalty for transit trips geographic information system-based disaggregate modeling approach&lt;/title&gt;&lt;secondary-title&gt;Transportation Research Record: Journal of the Transportation Research Board&lt;/secondary-title&gt;&lt;/titles&gt;&lt;periodical&gt;&lt;full-title&gt;Transportation Research Record: Journal of the Transportation Research Board&lt;/full-title&gt;&lt;/periodical&gt;&lt;pages&gt;10-18&lt;/pages&gt;&lt;volume&gt;1872&lt;/volume&gt;&lt;dates&gt;&lt;year&gt;2004&lt;/year&gt;&lt;pub-dates&gt;&lt;date&gt;2004/01/01&lt;/date&gt;&lt;/pub-dates&gt;&lt;/dates&gt;&lt;publisher&gt;Transportation Research Board&lt;/publisher&gt;&lt;isbn&gt;0361-1981&lt;/isbn&gt;&lt;urls&gt;&lt;related-urls&gt;&lt;url&gt;http://dx.doi.org/10.3141/1872-02&lt;/url&gt;&lt;/related-urls&gt;&lt;/urls&gt;&lt;electronic-resource-num&gt;10.3141/1872-02&lt;/electronic-resource-num&gt;&lt;access-date&gt;2015/09/01&lt;/access-date&gt;&lt;/record&gt;&lt;/Cite&gt;&lt;/EndNote&gt;</w:instrText>
      </w:r>
      <w:r w:rsidRPr="00313C0B">
        <w:fldChar w:fldCharType="separate"/>
      </w:r>
      <w:hyperlink w:anchor="_ENREF_10" w:tooltip="Guo, 2004 #158" w:history="1">
        <w:r w:rsidR="00B77B2A" w:rsidRPr="00313C0B">
          <w:t>Guo and Wilson (2004</w:t>
        </w:r>
      </w:hyperlink>
      <w:r w:rsidRPr="00313C0B">
        <w:t>)</w:t>
      </w:r>
      <w:r w:rsidRPr="00313C0B">
        <w:fldChar w:fldCharType="end"/>
      </w:r>
      <w:r w:rsidRPr="00313C0B">
        <w:t xml:space="preserve"> reported that transit users are more likely to transfer if escalators are available at transfer stations to assist with changing of levels. The provision of amenities, such as benches, shades, water fountains and rest rooms would increase the comfort and convenience of transit users while waiting and transferring </w:t>
      </w:r>
      <w:r w:rsidRPr="00313C0B">
        <w:fldChar w:fldCharType="begin"/>
      </w:r>
      <w:r w:rsidR="00446388">
        <w:instrText xml:space="preserve"> ADDIN EN.CITE &lt;EndNote&gt;&lt;Cite&gt;&lt;Author&gt;Iseki&lt;/Author&gt;&lt;Year&gt;2009&lt;/Year&gt;&lt;RecNum&gt;83&lt;/RecNum&gt;&lt;DisplayText&gt;(Iseki and Taylor, 2009)&lt;/DisplayText&gt;&lt;record&gt;&lt;rec-number&gt;83&lt;/rec-number&gt;&lt;foreign-keys&gt;&lt;key app="EN" db-id="wt5p2v0d1pes9fetednxdse65xefzpvzzxvf"&gt;83&lt;/key&gt;&lt;/foreign-keys&gt;&lt;ref-type name="Journal Article"&gt;17&lt;/ref-type&gt;&lt;contributors&gt;&lt;authors&gt;&lt;author&gt;Iseki, Hiroyuki&lt;/author&gt;&lt;author&gt;Taylor, Brian D.&lt;/author&gt;&lt;/authors&gt;&lt;/contributors&gt;&lt;titles&gt;&lt;title&gt;Not all transfers are created equal: Towards a framework relating transfer connectivity to travel behaviour&lt;/title&gt;&lt;secondary-title&gt;Transport Reviews&lt;/secondary-title&gt;&lt;/titles&gt;&lt;periodical&gt;&lt;full-title&gt;Transport Reviews&lt;/full-title&gt;&lt;/periodical&gt;&lt;pages&gt;777-800&lt;/pages&gt;&lt;volume&gt;29&lt;/volume&gt;&lt;number&gt;6&lt;/number&gt;&lt;dates&gt;&lt;year&gt;2009&lt;/year&gt;&lt;/dates&gt;&lt;publisher&gt;Routledge&lt;/publisher&gt;&lt;isbn&gt;0144-1647&lt;/isbn&gt;&lt;urls&gt;&lt;related-urls&gt;&lt;url&gt;http://dx.doi.org/10.1080/01441640902811304&lt;/url&gt;&lt;/related-urls&gt;&lt;/urls&gt;&lt;electronic-resource-num&gt;10.1080/01441640902811304&lt;/electronic-resource-num&gt;&lt;access-date&gt;2013/10/17&lt;/access-date&gt;&lt;/record&gt;&lt;/Cite&gt;&lt;/EndNote&gt;</w:instrText>
      </w:r>
      <w:r w:rsidRPr="00313C0B">
        <w:fldChar w:fldCharType="separate"/>
      </w:r>
      <w:r w:rsidR="00446388">
        <w:rPr>
          <w:noProof/>
        </w:rPr>
        <w:t>(</w:t>
      </w:r>
      <w:hyperlink w:anchor="_ENREF_15" w:tooltip="Iseki, 2009 #83" w:history="1">
        <w:r w:rsidR="00B77B2A">
          <w:rPr>
            <w:noProof/>
          </w:rPr>
          <w:t>Iseki and Taylor, 2009</w:t>
        </w:r>
      </w:hyperlink>
      <w:r w:rsidR="00446388">
        <w:rPr>
          <w:noProof/>
        </w:rPr>
        <w:t>)</w:t>
      </w:r>
      <w:r w:rsidRPr="00313C0B">
        <w:fldChar w:fldCharType="end"/>
      </w:r>
      <w:r w:rsidRPr="00313C0B">
        <w:t xml:space="preserve">. Security and safety, such as security staff and actual crime rates of transit facilities would influence the perception of waiting and walking for transfer </w:t>
      </w:r>
      <w:r w:rsidRPr="00313C0B">
        <w:fldChar w:fldCharType="begin"/>
      </w:r>
      <w:r w:rsidR="00446388">
        <w:instrText xml:space="preserve"> ADDIN EN.CITE &lt;EndNote&gt;&lt;Cite&gt;&lt;Author&gt;Loukaitou-Sideris&lt;/Author&gt;&lt;Year&gt;2001&lt;/Year&gt;&lt;RecNum&gt;204&lt;/RecNum&gt;&lt;DisplayText&gt;(Loukaitou-Sideris et al., 2001)&lt;/DisplayText&gt;&lt;record&gt;&lt;rec-number&gt;204&lt;/rec-number&gt;&lt;foreign-keys&gt;&lt;key app="EN" db-id="wt5p2v0d1pes9fetednxdse65xefzpvzzxvf"&gt;204&lt;/key&gt;&lt;/foreign-keys&gt;&lt;ref-type name="Journal Article"&gt;17&lt;/ref-type&gt;&lt;contributors&gt;&lt;authors&gt;&lt;author&gt;Loukaitou-Sideris, Anastasia&lt;/author&gt;&lt;author&gt;Liggett, Robin&lt;/author&gt;&lt;author&gt;Iseki, Hiroyuki&lt;/author&gt;&lt;author&gt;Thurlow, William&lt;/author&gt;&lt;/authors&gt;&lt;/contributors&gt;&lt;titles&gt;&lt;title&gt;Measuring the effects of built environment on bus stop crime&lt;/title&gt;&lt;secondary-title&gt;Environment and Planning B: Planning and Design&lt;/secondary-title&gt;&lt;/titles&gt;&lt;periodical&gt;&lt;full-title&gt;Environment and Planning B: Planning and Design&lt;/full-title&gt;&lt;/periodical&gt;&lt;pages&gt;255-280&lt;/pages&gt;&lt;volume&gt;28&lt;/volume&gt;&lt;number&gt;2&lt;/number&gt;&lt;dates&gt;&lt;year&gt;2001&lt;/year&gt;&lt;/dates&gt;&lt;isbn&gt;0265-8135&lt;/isbn&gt;&lt;urls&gt;&lt;/urls&gt;&lt;electronic-resource-num&gt;10.1068/b2642r&lt;/electronic-resource-num&gt;&lt;/record&gt;&lt;/Cite&gt;&lt;/EndNote&gt;</w:instrText>
      </w:r>
      <w:r w:rsidRPr="00313C0B">
        <w:fldChar w:fldCharType="separate"/>
      </w:r>
      <w:r w:rsidR="00446388">
        <w:rPr>
          <w:noProof/>
        </w:rPr>
        <w:t>(</w:t>
      </w:r>
      <w:hyperlink w:anchor="_ENREF_19" w:tooltip="Loukaitou-Sideris, 2001 #204" w:history="1">
        <w:r w:rsidR="00B77B2A">
          <w:rPr>
            <w:noProof/>
          </w:rPr>
          <w:t>Loukaitou-Sideris et al., 2001</w:t>
        </w:r>
      </w:hyperlink>
      <w:r w:rsidR="00446388">
        <w:rPr>
          <w:noProof/>
        </w:rPr>
        <w:t>)</w:t>
      </w:r>
      <w:r w:rsidRPr="00313C0B">
        <w:fldChar w:fldCharType="end"/>
      </w:r>
      <w:r w:rsidRPr="00313C0B">
        <w:t xml:space="preserve">. A case study of the London Underground found that worst transfer locations were stations with the largest and most complex transfer environments, and best transfer locations perceived were those stations with simple transfer environments and heavy use </w:t>
      </w:r>
      <w:r w:rsidRPr="00313C0B">
        <w:fldChar w:fldCharType="begin"/>
      </w:r>
      <w:r w:rsidR="00446388">
        <w:instrText xml:space="preserve"> ADDIN EN.CITE &lt;EndNote&gt;&lt;Cite&gt;&lt;Author&gt;Guo&lt;/Author&gt;&lt;Year&gt;2011&lt;/Year&gt;&lt;RecNum&gt;193&lt;/RecNum&gt;&lt;DisplayText&gt;(Guo and Wilson, 2011)&lt;/DisplayText&gt;&lt;record&gt;&lt;rec-number&gt;193&lt;/rec-number&gt;&lt;foreign-keys&gt;&lt;key app="EN" db-id="wt5p2v0d1pes9fetednxdse65xefzpvzzxvf"&gt;193&lt;/key&gt;&lt;/foreign-keys&gt;&lt;ref-type name="Journal Article"&gt;17&lt;/ref-type&gt;&lt;contributors&gt;&lt;authors&gt;&lt;author&gt;Guo, Zhan&lt;/author&gt;&lt;author&gt;Wilson, Nigel&lt;/author&gt;&lt;/authors&gt;&lt;/contributors&gt;&lt;titles&gt;&lt;title&gt;Assessing the cost of transfer inconvenience in public transport systems: A case study of the London Underground&lt;/title&gt;&lt;secondary-title&gt;Transportation Research Part A: Policy and Practice&lt;/secondary-title&gt;&lt;/titles&gt;&lt;periodical&gt;&lt;full-title&gt;Transportation Research Part A: Policy and Practice&lt;/full-title&gt;&lt;/periodical&gt;&lt;pages&gt;91-104&lt;/pages&gt;&lt;volume&gt;45&lt;/volume&gt;&lt;number&gt;2&lt;/number&gt;&lt;keywords&gt;&lt;keyword&gt;Transfer cost&lt;/keyword&gt;&lt;keyword&gt;Transfer penalty&lt;/keyword&gt;&lt;keyword&gt;Path choice&lt;/keyword&gt;&lt;keyword&gt;Public transport&lt;/keyword&gt;&lt;keyword&gt;London Underground&lt;/keyword&gt;&lt;/keywords&gt;&lt;dates&gt;&lt;year&gt;2011&lt;/year&gt;&lt;/dates&gt;&lt;isbn&gt;0965-8564&lt;/isbn&gt;&lt;urls&gt;&lt;related-urls&gt;&lt;url&gt;http://www.sciencedirect.com/science/article/pii/S0965856410001564&lt;/url&gt;&lt;/related-urls&gt;&lt;/urls&gt;&lt;electronic-resource-num&gt;10.1016/j.tra.2010.11.002&lt;/electronic-resource-num&gt;&lt;/record&gt;&lt;/Cite&gt;&lt;/EndNote&gt;</w:instrText>
      </w:r>
      <w:r w:rsidRPr="00313C0B">
        <w:fldChar w:fldCharType="separate"/>
      </w:r>
      <w:r w:rsidR="00446388">
        <w:rPr>
          <w:noProof/>
        </w:rPr>
        <w:t>(</w:t>
      </w:r>
      <w:hyperlink w:anchor="_ENREF_11" w:tooltip="Guo, 2011 #193" w:history="1">
        <w:r w:rsidR="00B77B2A">
          <w:rPr>
            <w:noProof/>
          </w:rPr>
          <w:t>Guo and Wilson, 2011</w:t>
        </w:r>
      </w:hyperlink>
      <w:r w:rsidR="00446388">
        <w:rPr>
          <w:noProof/>
        </w:rPr>
        <w:t>)</w:t>
      </w:r>
      <w:r w:rsidRPr="00313C0B">
        <w:fldChar w:fldCharType="end"/>
      </w:r>
      <w:r w:rsidRPr="00313C0B">
        <w:t>.</w:t>
      </w:r>
    </w:p>
    <w:p w:rsidR="00313C0B" w:rsidRPr="00313C0B" w:rsidRDefault="00313C0B" w:rsidP="00631A58"/>
    <w:p w:rsidR="00313C0B" w:rsidRPr="00313C0B" w:rsidRDefault="00313C0B" w:rsidP="00631A58">
      <w:r w:rsidRPr="00313C0B">
        <w:t xml:space="preserve">In the case of whether to take a transfer or walk a longer distance to a destination, </w:t>
      </w:r>
      <w:r w:rsidRPr="00313C0B">
        <w:fldChar w:fldCharType="begin"/>
      </w:r>
      <w:r w:rsidRPr="00313C0B">
        <w:instrText xml:space="preserve"> ADDIN EN.CITE &lt;EndNote&gt;&lt;Cite AuthorYear="1"&gt;&lt;Author&gt;Guo&lt;/Author&gt;&lt;Year&gt;2004&lt;/Year&gt;&lt;RecNum&gt;158&lt;/RecNum&gt;&lt;DisplayText&gt;Guo and Wilson (2004)&lt;/DisplayText&gt;&lt;record&gt;&lt;rec-number&gt;158&lt;/rec-number&gt;&lt;foreign-keys&gt;&lt;key app="EN" db-id="wt5p2v0d1pes9fetednxdse65xefzpvzzxvf"&gt;158&lt;/key&gt;&lt;/foreign-keys&gt;&lt;ref-type name="Journal Article"&gt;17&lt;/ref-type&gt;&lt;contributors&gt;&lt;authors&gt;&lt;author&gt;Guo, Zhan&lt;/author&gt;&lt;author&gt;Wilson, Nigel&lt;/author&gt;&lt;/authors&gt;&lt;/contributors&gt;&lt;titles&gt;&lt;title&gt;Assessment of the transfer penalty for transit trips geographic information system-based disaggregate modeling approach&lt;/title&gt;&lt;secondary-title&gt;Transportation Research Record: Journal of the Transportation Research Board&lt;/secondary-title&gt;&lt;/titles&gt;&lt;periodical&gt;&lt;full-title&gt;Transportation Research Record: Journal of the Transportation Research Board&lt;/full-title&gt;&lt;/periodical&gt;&lt;pages&gt;10-18&lt;/pages&gt;&lt;volume&gt;1872&lt;/volume&gt;&lt;dates&gt;&lt;year&gt;2004&lt;/year&gt;&lt;pub-dates&gt;&lt;date&gt;2004/01/01&lt;/date&gt;&lt;/pub-dates&gt;&lt;/dates&gt;&lt;publisher&gt;Transportation Research Board&lt;/publisher&gt;&lt;isbn&gt;0361-1981&lt;/isbn&gt;&lt;urls&gt;&lt;related-urls&gt;&lt;url&gt;http://dx.doi.org/10.3141/1872-02&lt;/url&gt;&lt;/related-urls&gt;&lt;/urls&gt;&lt;electronic-resource-num&gt;10.3141/1872-02&lt;/electronic-resource-num&gt;&lt;access-date&gt;2015/09/01&lt;/access-date&gt;&lt;/record&gt;&lt;/Cite&gt;&lt;/EndNote&gt;</w:instrText>
      </w:r>
      <w:r w:rsidRPr="00313C0B">
        <w:fldChar w:fldCharType="separate"/>
      </w:r>
      <w:hyperlink w:anchor="_ENREF_10" w:tooltip="Guo, 2004 #158" w:history="1">
        <w:r w:rsidR="00B77B2A" w:rsidRPr="00313C0B">
          <w:t>Guo and Wilson (2004</w:t>
        </w:r>
      </w:hyperlink>
      <w:r w:rsidRPr="00313C0B">
        <w:t>)</w:t>
      </w:r>
      <w:r w:rsidRPr="00313C0B">
        <w:fldChar w:fldCharType="end"/>
      </w:r>
      <w:r w:rsidRPr="00313C0B">
        <w:t xml:space="preserve"> discovered that the demand of transfer increases if walking environments are improved. If wider sidewalks exist along the non-transfer path, transit riders are less likely to use a transfer service. To calculate the public transit connectivity index, </w:t>
      </w:r>
      <w:r w:rsidRPr="00313C0B">
        <w:fldChar w:fldCharType="begin"/>
      </w:r>
      <w:r w:rsidRPr="00313C0B">
        <w:instrText xml:space="preserve"> ADDIN EN.CITE &lt;EndNote&gt;&lt;Cite AuthorYear="1"&gt;&lt;Author&gt;Hadas&lt;/Author&gt;&lt;Year&gt;2012&lt;/Year&gt;&lt;RecNum&gt;18&lt;/RecNum&gt;&lt;DisplayText&gt;Hadas and Ranjitkar (2012)&lt;/DisplayText&gt;&lt;record&gt;&lt;rec-number&gt;18&lt;/rec-number&gt;&lt;foreign-keys&gt;&lt;key app="EN" db-id="wt5p2v0d1pes9fetednxdse65xefzpvzzxvf"&gt;18&lt;/key&gt;&lt;/foreign-keys&gt;&lt;ref-type name="Journal Article"&gt;17&lt;/ref-type&gt;&lt;contributors&gt;&lt;authors&gt;&lt;author&gt;Hadas, Yuval&lt;/author&gt;&lt;author&gt;Ranjitkar, Prakash&lt;/author&gt;&lt;/authors&gt;&lt;/contributors&gt;&lt;titles&gt;&lt;title&gt;Modeling public-transit connectivity with spatial quality-of-transfer measurements&lt;/title&gt;&lt;secondary-title&gt;Journal of Transport Geography&lt;/secondary-title&gt;&lt;/titles&gt;&lt;periodical&gt;&lt;full-title&gt;Journal of Transport Geography&lt;/full-title&gt;&lt;/periodical&gt;&lt;pages&gt;137-147&lt;/pages&gt;&lt;volume&gt;22&lt;/volume&gt;&lt;keywords&gt;&lt;keyword&gt;Public transit&lt;/keyword&gt;&lt;keyword&gt;Spatial analysis&lt;/keyword&gt;&lt;keyword&gt;Transfer&lt;/keyword&gt;&lt;keyword&gt;Performance measure&lt;/keyword&gt;&lt;keyword&gt;New Zealand&lt;/keyword&gt;&lt;/keywords&gt;&lt;dates&gt;&lt;year&gt;2012&lt;/year&gt;&lt;/dates&gt;&lt;isbn&gt;0966-6923&lt;/isbn&gt;&lt;urls&gt;&lt;related-urls&gt;&lt;url&gt;http://www.sciencedirect.com/science/article/pii/S0966692311002274&lt;/url&gt;&lt;/related-urls&gt;&lt;/urls&gt;&lt;electronic-resource-num&gt;10.1016/j.jtrangeo.2011.12.003&lt;/electronic-resource-num&gt;&lt;/record&gt;&lt;/Cite&gt;&lt;/EndNote&gt;</w:instrText>
      </w:r>
      <w:r w:rsidRPr="00313C0B">
        <w:fldChar w:fldCharType="separate"/>
      </w:r>
      <w:hyperlink w:anchor="_ENREF_13" w:tooltip="Hadas, 2012 #18" w:history="1">
        <w:r w:rsidR="00B77B2A" w:rsidRPr="00313C0B">
          <w:t>Hadas and Ranjitkar (2012</w:t>
        </w:r>
      </w:hyperlink>
      <w:r w:rsidRPr="00313C0B">
        <w:t>)</w:t>
      </w:r>
      <w:r w:rsidRPr="00313C0B">
        <w:fldChar w:fldCharType="end"/>
      </w:r>
      <w:r w:rsidRPr="00313C0B">
        <w:t xml:space="preserve"> took into consideration the type of transfer to classify them into four categories, namely: street crossing transfer, sidewalk transfer, non-walk transfer and one-leg trip (direct non-transfer path), and gave a different weighting vector for each type of transfer at [4,2,1,0] with the street crossing transfer to be perceived as the most burdensome.</w:t>
      </w:r>
    </w:p>
    <w:p w:rsidR="00313C0B" w:rsidRPr="00313C0B" w:rsidRDefault="00313C0B" w:rsidP="00631A58"/>
    <w:p w:rsidR="00313C0B" w:rsidRPr="00313C0B" w:rsidRDefault="00313C0B" w:rsidP="00631A58">
      <w:r w:rsidRPr="00313C0B">
        <w:t>The literature captures various factors that influence the quality of transfers. Much effort has been devoted to study the perceived costs of walking and waiting time during transfers. The impact of transfers has been formulated mostly in the form of additional cost. What is lacking is that instead of quantifying the inconvenience of transfer in scalar form, transit users could also consider the travel direction</w:t>
      </w:r>
      <w:r w:rsidR="00711D81">
        <w:t xml:space="preserve"> towards their transfer points.</w:t>
      </w:r>
    </w:p>
    <w:p w:rsidR="00313C0B" w:rsidRDefault="00313C0B" w:rsidP="00313C0B">
      <w:pPr>
        <w:rPr>
          <w:rFonts w:cs="Arial"/>
          <w:sz w:val="24"/>
          <w:szCs w:val="24"/>
        </w:rPr>
      </w:pPr>
    </w:p>
    <w:p w:rsidR="00313C0B" w:rsidRPr="00313C0B" w:rsidRDefault="00B408D4" w:rsidP="00313C0B">
      <w:pPr>
        <w:pStyle w:val="Heading1"/>
        <w:numPr>
          <w:ilvl w:val="0"/>
          <w:numId w:val="2"/>
        </w:numPr>
      </w:pPr>
      <w:r>
        <w:t>Study Context</w:t>
      </w:r>
    </w:p>
    <w:p w:rsidR="00313C0B" w:rsidRPr="00313C0B" w:rsidRDefault="00313C0B" w:rsidP="00313C0B">
      <w:pPr>
        <w:rPr>
          <w:rFonts w:cs="Arial"/>
          <w:sz w:val="24"/>
          <w:szCs w:val="24"/>
        </w:rPr>
      </w:pPr>
    </w:p>
    <w:p w:rsidR="00313C0B" w:rsidRPr="0024568E" w:rsidRDefault="00313C0B" w:rsidP="007F122B">
      <w:r w:rsidRPr="00313C0B">
        <w:t>Brisbane is the capital of Queensland with a population of 2.3 million</w:t>
      </w:r>
      <w:r w:rsidR="0091197D">
        <w:t xml:space="preserve"> </w:t>
      </w:r>
      <w:r w:rsidRPr="00313C0B">
        <w:fldChar w:fldCharType="begin"/>
      </w:r>
      <w:r w:rsidR="00446388">
        <w:instrText xml:space="preserve"> ADDIN EN.CITE &lt;EndNote&gt;&lt;Cite&gt;&lt;Author&gt;Queensland Government&lt;/Author&gt;&lt;Year&gt;2012&lt;/Year&gt;&lt;RecNum&gt;178&lt;/RecNum&gt;&lt;DisplayText&gt;(Queensland Government, 2012)&lt;/DisplayText&gt;&lt;record&gt;&lt;rec-number&gt;178&lt;/rec-number&gt;&lt;foreign-keys&gt;&lt;key app="EN" db-id="wt5p2v0d1pes9fetednxdse65xefzpvzzxvf"&gt;178&lt;/key&gt;&lt;/foreign-keys&gt;&lt;ref-type name="Report"&gt;27&lt;/ref-type&gt;&lt;contributors&gt;&lt;authors&gt;&lt;author&gt;Queensland Government,&lt;/author&gt;&lt;/authors&gt;&lt;/contributors&gt;&lt;titles&gt;&lt;title&gt;Travel in south-east Queensland&lt;/title&gt;&lt;/titles&gt;&lt;dates&gt;&lt;year&gt;2012&lt;/year&gt;&lt;/dates&gt;&lt;pub-location&gt;Australia: Queensland&lt;/pub-location&gt;&lt;urls&gt;&lt;/urls&gt;&lt;/record&gt;&lt;/Cite&gt;&lt;/EndNote&gt;</w:instrText>
      </w:r>
      <w:r w:rsidRPr="00313C0B">
        <w:fldChar w:fldCharType="separate"/>
      </w:r>
      <w:r w:rsidR="00446388">
        <w:rPr>
          <w:noProof/>
        </w:rPr>
        <w:t>(</w:t>
      </w:r>
      <w:hyperlink w:anchor="_ENREF_25" w:tooltip="Queensland Government, 2012 #178" w:history="1">
        <w:r w:rsidR="00B77B2A">
          <w:rPr>
            <w:noProof/>
          </w:rPr>
          <w:t>Queensland Government, 2012</w:t>
        </w:r>
      </w:hyperlink>
      <w:r w:rsidR="00446388">
        <w:rPr>
          <w:noProof/>
        </w:rPr>
        <w:t>)</w:t>
      </w:r>
      <w:r w:rsidRPr="00313C0B">
        <w:fldChar w:fldCharType="end"/>
      </w:r>
      <w:r w:rsidR="0024568E">
        <w:t xml:space="preserve">. Queensland Department of Transport and Main Roads’ TransLink Division is responsible for leading and shaping Queensland’s overall passenger transit system. TransLink provides mass transit including buses, trains, ferries and trams across South East Queensland. </w:t>
      </w:r>
      <w:r w:rsidR="0091197D">
        <w:t xml:space="preserve">The recent report by </w:t>
      </w:r>
      <w:r w:rsidR="0091197D">
        <w:fldChar w:fldCharType="begin"/>
      </w:r>
      <w:r w:rsidR="0091197D">
        <w:instrText xml:space="preserve"> ADDIN EN.CITE &lt;EndNote&gt;&lt;Cite AuthorYear="1"&gt;&lt;Author&gt;Queensland Government&lt;/Author&gt;&lt;Year&gt;2016&lt;/Year&gt;&lt;RecNum&gt;235&lt;/RecNum&gt;&lt;DisplayText&gt;Queensland Government (2016)&lt;/DisplayText&gt;&lt;record&gt;&lt;rec-number&gt;235&lt;/rec-number&gt;&lt;foreign-keys&gt;&lt;key app="EN" db-id="wt5p2v0d1pes9fetednxdse65xefzpvzzxvf"&gt;235&lt;/key&gt;&lt;/foreign-keys&gt;&lt;ref-type name="Report"&gt;27&lt;/ref-type&gt;&lt;contributors&gt;&lt;authors&gt;&lt;author&gt;Queensland Government,&lt;/author&gt;&lt;/authors&gt;&lt;/contributors&gt;&lt;titles&gt;&lt;title&gt;TransLink tracker January-March 2016 Q3&lt;/title&gt;&lt;/titles&gt;&lt;pages&gt;4&lt;/pages&gt;&lt;dates&gt;&lt;year&gt;2016&lt;/year&gt;&lt;/dates&gt;&lt;pub-location&gt;Australia&lt;/pub-location&gt;&lt;publisher&gt;Department of Transport and Main Roads&lt;/publisher&gt;&lt;urls&gt;&lt;/urls&gt;&lt;/record&gt;&lt;/Cite&gt;&lt;/EndNote&gt;</w:instrText>
      </w:r>
      <w:r w:rsidR="0091197D">
        <w:fldChar w:fldCharType="separate"/>
      </w:r>
      <w:hyperlink w:anchor="_ENREF_26" w:tooltip="Queensland Government, 2016 #235" w:history="1">
        <w:r w:rsidR="00B77B2A">
          <w:rPr>
            <w:noProof/>
          </w:rPr>
          <w:t>Queensland Government (2016</w:t>
        </w:r>
      </w:hyperlink>
      <w:r w:rsidR="0091197D">
        <w:rPr>
          <w:noProof/>
        </w:rPr>
        <w:t>)</w:t>
      </w:r>
      <w:r w:rsidR="0091197D">
        <w:fldChar w:fldCharType="end"/>
      </w:r>
      <w:r w:rsidR="0091197D">
        <w:t xml:space="preserve"> revealed that from January to March 2016, 27.38 million trips were conducted by bus, followed by 12.21 million trips by train, 1.71 million trips by ferry and 1.93 million trips by tram. Bus ridership consisted of more than 63% of total transit ridership. This shows that bus is the dominant transit mode in Brisbane. </w:t>
      </w:r>
      <w:r w:rsidRPr="00313C0B">
        <w:t xml:space="preserve">Brisbane’s public transit network can be characterised as a strong radial network orientation with more than 66% of the bus services operating to the CBD </w:t>
      </w:r>
      <w:r w:rsidRPr="00313C0B">
        <w:fldChar w:fldCharType="begin"/>
      </w:r>
      <w:r w:rsidR="00446388">
        <w:instrText xml:space="preserve"> ADDIN EN.CITE &lt;EndNote&gt;&lt;Cite&gt;&lt;Author&gt;Devney&lt;/Author&gt;&lt;Year&gt;2014&lt;/Year&gt;&lt;RecNum&gt;219&lt;/RecNum&gt;&lt;DisplayText&gt;(Devney, 2014)&lt;/DisplayText&gt;&lt;record&gt;&lt;rec-number&gt;219&lt;/rec-number&gt;&lt;foreign-keys&gt;&lt;key app="EN" db-id="wt5p2v0d1pes9fetednxdse65xefzpvzzxvf"&gt;219&lt;/key&gt;&lt;/foreign-keys&gt;&lt;ref-type name="Conference Proceedings"&gt;10&lt;/ref-type&gt;&lt;contributors&gt;&lt;authors&gt;&lt;author&gt;Devney, J&lt;/author&gt;&lt;/authors&gt;&lt;/contributors&gt;&lt;titles&gt;&lt;title&gt;Redesigning bus networks to be simpler, faster and more connected&lt;/title&gt;&lt;secondary-title&gt;Australian Institute of Traffic Planning and Management (AITPM) National Conference&lt;/secondary-title&gt;&lt;/titles&gt;&lt;number&gt;2&lt;/number&gt;&lt;dates&gt;&lt;year&gt;2014&lt;/year&gt;&lt;/dates&gt;&lt;pub-location&gt;Adelaide, South Australia, Australia&lt;/pub-location&gt;&lt;urls&gt;&lt;/urls&gt;&lt;/record&gt;&lt;/Cite&gt;&lt;/EndNote&gt;</w:instrText>
      </w:r>
      <w:r w:rsidRPr="00313C0B">
        <w:fldChar w:fldCharType="separate"/>
      </w:r>
      <w:r w:rsidR="00446388">
        <w:rPr>
          <w:noProof/>
        </w:rPr>
        <w:t>(</w:t>
      </w:r>
      <w:hyperlink w:anchor="_ENREF_8" w:tooltip="Devney, 2014 #219" w:history="1">
        <w:r w:rsidR="00B77B2A">
          <w:rPr>
            <w:noProof/>
          </w:rPr>
          <w:t>Devney, 2014</w:t>
        </w:r>
      </w:hyperlink>
      <w:r w:rsidR="00446388">
        <w:rPr>
          <w:noProof/>
        </w:rPr>
        <w:t>)</w:t>
      </w:r>
      <w:r w:rsidRPr="00313C0B">
        <w:fldChar w:fldCharType="end"/>
      </w:r>
      <w:r w:rsidRPr="00313C0B">
        <w:t>. The CBD is the central hub for the bus system, where three grade-separated bus only corridors (busways) provide high-speed, high-capacit</w:t>
      </w:r>
      <w:bookmarkStart w:id="1" w:name="_Ref447013152"/>
      <w:r w:rsidR="007F122B">
        <w:t>y services to regional centres.</w:t>
      </w:r>
    </w:p>
    <w:bookmarkEnd w:id="1"/>
    <w:p w:rsidR="00313C0B" w:rsidRPr="00313C0B" w:rsidRDefault="00313C0B" w:rsidP="00313C0B">
      <w:pPr>
        <w:rPr>
          <w:rFonts w:cs="Arial"/>
          <w:sz w:val="24"/>
          <w:szCs w:val="24"/>
        </w:rPr>
      </w:pPr>
    </w:p>
    <w:p w:rsidR="00313C0B" w:rsidRDefault="00313C0B" w:rsidP="00631A58">
      <w:r w:rsidRPr="00313C0B">
        <w:t xml:space="preserve">This study relies on </w:t>
      </w:r>
      <w:r w:rsidR="00631A58">
        <w:t>Brisbane</w:t>
      </w:r>
      <w:r w:rsidRPr="00313C0B">
        <w:t xml:space="preserve"> smart card data to develop the cognitive transfer map of bus users in the study area. </w:t>
      </w:r>
      <w:r w:rsidR="00C77C54">
        <w:t xml:space="preserve">The data encapsulates the entire Brisbane City Council area. In the Australian Statistical Geography Standard, it is equivalent to the total area of Brisbane East, North, South, West and Inner City in the Statistical Area Level 4. </w:t>
      </w:r>
      <w:r w:rsidRPr="00313C0B">
        <w:t>The go card is an electronic ticket for use on transit services throughout the network and records travel data when a traveller touches on at the start of any trip stage, and touches off at the end of the trip stage. This dataset contains information such as go card ID, date of service, route ID, service ID, direction (inbound or outbound), boarding time and alighting time, boarding stop ID and alighting stop ID, ticket type, journey ID and trip ID. If it is a transfer journey, it would have consecutive trip ID for each trip stage with the identical journey ID.</w:t>
      </w:r>
      <w:r w:rsidR="0091197D">
        <w:t xml:space="preserve"> According to TransLink, a </w:t>
      </w:r>
      <w:r w:rsidR="0024568E">
        <w:t xml:space="preserve">journey is defined as the set of trip </w:t>
      </w:r>
      <w:r w:rsidR="005E6D2A">
        <w:t>stage</w:t>
      </w:r>
      <w:r w:rsidR="0024568E">
        <w:t xml:space="preserve"> taken under one fare basis, while trip as a ride on a single transit vehicle. This study adopts the same convention for the terms “journey” and “trip”.</w:t>
      </w:r>
    </w:p>
    <w:p w:rsidR="0091197D" w:rsidRPr="00313C0B" w:rsidRDefault="0091197D" w:rsidP="00631A58"/>
    <w:p w:rsidR="00FE13F7" w:rsidRDefault="00FE13F7" w:rsidP="00FE13F7">
      <w:pPr>
        <w:pStyle w:val="Heading1"/>
        <w:numPr>
          <w:ilvl w:val="0"/>
          <w:numId w:val="2"/>
        </w:numPr>
      </w:pPr>
      <w:r>
        <w:t>Mapping</w:t>
      </w:r>
      <w:r w:rsidR="00313C0B" w:rsidRPr="00313C0B">
        <w:t xml:space="preserve"> Cognitive Transfer Locations</w:t>
      </w:r>
    </w:p>
    <w:p w:rsidR="00FE13F7" w:rsidRDefault="00FE13F7" w:rsidP="00260C03">
      <w:pPr>
        <w:rPr>
          <w:lang w:eastAsia="ko-KR"/>
        </w:rPr>
      </w:pPr>
    </w:p>
    <w:p w:rsidR="00FE13F7" w:rsidRDefault="00313C0B" w:rsidP="00FE13F7">
      <w:pPr>
        <w:pStyle w:val="Heading2"/>
        <w:numPr>
          <w:ilvl w:val="1"/>
          <w:numId w:val="2"/>
        </w:numPr>
        <w:ind w:left="709" w:hanging="709"/>
      </w:pPr>
      <w:r w:rsidRPr="00FE13F7">
        <w:t xml:space="preserve">Processing for Single-transfer </w:t>
      </w:r>
      <w:r w:rsidR="0024568E">
        <w:t>Bus Journeys</w:t>
      </w:r>
    </w:p>
    <w:p w:rsidR="00FE13F7" w:rsidRPr="00FE13F7" w:rsidRDefault="00FE13F7" w:rsidP="00FE13F7"/>
    <w:p w:rsidR="001A4E7B" w:rsidRDefault="00313C0B" w:rsidP="007F122B">
      <w:bookmarkStart w:id="2" w:name="_Ref395616849"/>
      <w:r w:rsidRPr="00631A58">
        <w:t xml:space="preserve">In order to develop a cognitive transfer map, the first step taken was to reconstruct travel itineraries by combining related transactions for each smart card holder to form complete </w:t>
      </w:r>
      <w:r w:rsidR="0024568E">
        <w:t>journey</w:t>
      </w:r>
      <w:r w:rsidRPr="00631A58">
        <w:t>s from origins to destinations, including transfers. A single day go-car</w:t>
      </w:r>
      <w:r w:rsidR="00B408D4">
        <w:t>d data was used for the mapping</w:t>
      </w:r>
      <w:r w:rsidRPr="00631A58">
        <w:t>. The data processing to construct single-transfer</w:t>
      </w:r>
      <w:r w:rsidR="00613C8D">
        <w:t xml:space="preserve"> journey</w:t>
      </w:r>
      <w:r w:rsidRPr="00631A58">
        <w:t xml:space="preserve"> is shown in </w:t>
      </w:r>
      <w:r w:rsidR="007F122B">
        <w:fldChar w:fldCharType="begin"/>
      </w:r>
      <w:r w:rsidR="007F122B">
        <w:instrText xml:space="preserve"> REF _Ref452456183 \h </w:instrText>
      </w:r>
      <w:r w:rsidR="007F122B">
        <w:fldChar w:fldCharType="separate"/>
      </w:r>
      <w:r w:rsidR="00386530" w:rsidRPr="00313C0B">
        <w:t xml:space="preserve">Figure </w:t>
      </w:r>
      <w:r w:rsidR="00386530">
        <w:rPr>
          <w:noProof/>
        </w:rPr>
        <w:t>1</w:t>
      </w:r>
      <w:r w:rsidR="007F122B">
        <w:fldChar w:fldCharType="end"/>
      </w:r>
      <w:r w:rsidR="007F122B">
        <w:t>.</w:t>
      </w:r>
      <w:bookmarkStart w:id="3" w:name="_Ref447797912"/>
    </w:p>
    <w:p w:rsidR="007F122B" w:rsidRDefault="007F122B" w:rsidP="007F122B">
      <w:pPr>
        <w:rPr>
          <w:rFonts w:cs="Arial"/>
          <w:b/>
          <w:sz w:val="20"/>
          <w:szCs w:val="20"/>
        </w:rPr>
      </w:pPr>
    </w:p>
    <w:p w:rsidR="00FE13F7" w:rsidRPr="00313C0B" w:rsidRDefault="00FE13F7" w:rsidP="00FE13F7">
      <w:pPr>
        <w:pStyle w:val="Captions"/>
      </w:pPr>
      <w:bookmarkStart w:id="4" w:name="_Ref452456183"/>
      <w:r w:rsidRPr="00313C0B">
        <w:t xml:space="preserve">Figure </w:t>
      </w:r>
      <w:fldSimple w:instr=" SEQ Figure \* ARABIC ">
        <w:r w:rsidR="00386530">
          <w:rPr>
            <w:noProof/>
          </w:rPr>
          <w:t>1</w:t>
        </w:r>
      </w:fldSimple>
      <w:bookmarkEnd w:id="3"/>
      <w:bookmarkEnd w:id="4"/>
      <w:r w:rsidR="0024568E">
        <w:t>: Single-transfer</w:t>
      </w:r>
      <w:r w:rsidR="00613C8D">
        <w:t xml:space="preserve"> journey</w:t>
      </w:r>
      <w:r w:rsidRPr="00313C0B">
        <w:t xml:space="preserve"> construction process</w:t>
      </w:r>
    </w:p>
    <w:p w:rsidR="00313C0B" w:rsidRPr="00313C0B" w:rsidRDefault="00313C0B" w:rsidP="00313C0B">
      <w:pPr>
        <w:rPr>
          <w:rFonts w:cs="Arial"/>
          <w:sz w:val="24"/>
          <w:szCs w:val="24"/>
        </w:rPr>
      </w:pPr>
    </w:p>
    <w:p w:rsidR="00313C0B" w:rsidRPr="00313C0B" w:rsidRDefault="00613C8D" w:rsidP="00613C8D">
      <w:pPr>
        <w:jc w:val="center"/>
        <w:rPr>
          <w:rFonts w:cs="Arial"/>
          <w:sz w:val="24"/>
          <w:szCs w:val="24"/>
          <w:lang w:val="en-US"/>
        </w:rPr>
      </w:pPr>
      <w:r>
        <w:rPr>
          <w:rFonts w:cs="Arial"/>
          <w:noProof/>
          <w:sz w:val="24"/>
          <w:szCs w:val="24"/>
          <w:lang w:eastAsia="en-AU"/>
        </w:rPr>
        <w:drawing>
          <wp:inline distT="0" distB="0" distL="0" distR="0" wp14:anchorId="19AF12F9" wp14:editId="6C779EA4">
            <wp:extent cx="5435194" cy="2604211"/>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vel itineraries reconstruction process.png"/>
                    <pic:cNvPicPr/>
                  </pic:nvPicPr>
                  <pic:blipFill rotWithShape="1">
                    <a:blip r:embed="rId9" cstate="print">
                      <a:extLst>
                        <a:ext uri="{28A0092B-C50C-407E-A947-70E740481C1C}">
                          <a14:useLocalDpi xmlns:a14="http://schemas.microsoft.com/office/drawing/2010/main" val="0"/>
                        </a:ext>
                      </a:extLst>
                    </a:blip>
                    <a:srcRect l="5229" t="23872" b="14094"/>
                    <a:stretch/>
                  </pic:blipFill>
                  <pic:spPr bwMode="auto">
                    <a:xfrm>
                      <a:off x="0" y="0"/>
                      <a:ext cx="5431776" cy="2602573"/>
                    </a:xfrm>
                    <a:prstGeom prst="rect">
                      <a:avLst/>
                    </a:prstGeom>
                    <a:ln>
                      <a:noFill/>
                    </a:ln>
                    <a:extLst>
                      <a:ext uri="{53640926-AAD7-44D8-BBD7-CCE9431645EC}">
                        <a14:shadowObscured xmlns:a14="http://schemas.microsoft.com/office/drawing/2010/main"/>
                      </a:ext>
                    </a:extLst>
                  </pic:spPr>
                </pic:pic>
              </a:graphicData>
            </a:graphic>
          </wp:inline>
        </w:drawing>
      </w:r>
    </w:p>
    <w:p w:rsidR="00313C0B" w:rsidRPr="00313C0B" w:rsidRDefault="00313C0B" w:rsidP="00313C0B">
      <w:pPr>
        <w:rPr>
          <w:rFonts w:cs="Arial"/>
          <w:sz w:val="24"/>
          <w:szCs w:val="24"/>
        </w:rPr>
      </w:pPr>
    </w:p>
    <w:p w:rsidR="00FE13F7" w:rsidRDefault="00313C0B" w:rsidP="00631A58">
      <w:r w:rsidRPr="00313C0B">
        <w:t>The process starts with filtering out noise data such as incomplete data of origin or destination information. A threshold of 60-minute time gap is applied to identify whether two tr</w:t>
      </w:r>
      <w:r w:rsidR="00613C8D">
        <w:t>ips</w:t>
      </w:r>
      <w:r w:rsidRPr="00313C0B">
        <w:t xml:space="preserve"> are connected as a transfer journey. If one stays at a place for more than 60 minutes before making the next trip, it will be counted as a separate trip, rather than a continuous journey through a transfer. The next process is to differentiate return </w:t>
      </w:r>
      <w:r w:rsidR="00613C8D">
        <w:t>trips</w:t>
      </w:r>
      <w:r w:rsidRPr="00313C0B">
        <w:t xml:space="preserve"> from single-transfer </w:t>
      </w:r>
      <w:r w:rsidR="00613C8D">
        <w:t>journeys</w:t>
      </w:r>
      <w:r w:rsidRPr="00313C0B">
        <w:t xml:space="preserve">. Studies have shown that one is willing to walk in average 400 or 500m to bus stops </w:t>
      </w:r>
      <w:r w:rsidRPr="00313C0B">
        <w:fldChar w:fldCharType="begin">
          <w:fldData xml:space="preserve">PEVuZE5vdGU+PENpdGU+PEF1dGhvcj5DaGlhPC9BdXRob3I+PFllYXI+MjAxNjwvWWVhcj48UmVj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</w:fldData>
        </w:fldChar>
      </w:r>
      <w:r w:rsidR="00920926">
        <w:instrText xml:space="preserve"> ADDIN EN.CITE </w:instrText>
      </w:r>
      <w:r w:rsidR="00920926">
        <w:fldChar w:fldCharType="begin">
          <w:fldData xml:space="preserve">PEVuZE5vdGU+PENpdGU+PEF1dGhvcj5DaGlhPC9BdXRob3I+PFllYXI+MjAxNjwvWWVhcj48UmVj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</w:fldData>
        </w:fldChar>
      </w:r>
      <w:r w:rsidR="00920926">
        <w:instrText xml:space="preserve"> ADDIN EN.CITE.DATA </w:instrText>
      </w:r>
      <w:r w:rsidR="00920926">
        <w:fldChar w:fldCharType="end"/>
      </w:r>
      <w:r w:rsidRPr="00313C0B">
        <w:fldChar w:fldCharType="separate"/>
      </w:r>
      <w:r w:rsidR="00446388">
        <w:rPr>
          <w:noProof/>
        </w:rPr>
        <w:t>(</w:t>
      </w:r>
      <w:hyperlink w:anchor="_ENREF_4" w:tooltip="Chia, 2016 #209" w:history="1">
        <w:r w:rsidR="00B77B2A">
          <w:rPr>
            <w:noProof/>
          </w:rPr>
          <w:t>Chia et al., 2016</w:t>
        </w:r>
      </w:hyperlink>
      <w:r w:rsidR="00446388">
        <w:rPr>
          <w:noProof/>
        </w:rPr>
        <w:t xml:space="preserve">; </w:t>
      </w:r>
      <w:hyperlink w:anchor="_ENREF_14" w:tooltip="Horner, 2004 #179" w:history="1">
        <w:r w:rsidR="00B77B2A">
          <w:rPr>
            <w:noProof/>
          </w:rPr>
          <w:t>Horner and Murray, 2004</w:t>
        </w:r>
      </w:hyperlink>
      <w:r w:rsidR="00446388">
        <w:rPr>
          <w:noProof/>
        </w:rPr>
        <w:t xml:space="preserve">; </w:t>
      </w:r>
      <w:hyperlink w:anchor="_ENREF_23" w:tooltip="O'Sullivan, 1996 #131" w:history="1">
        <w:r w:rsidR="00B77B2A">
          <w:rPr>
            <w:noProof/>
          </w:rPr>
          <w:t>O'Sullivan and Morrall, 1996</w:t>
        </w:r>
      </w:hyperlink>
      <w:r w:rsidR="00446388">
        <w:rPr>
          <w:noProof/>
        </w:rPr>
        <w:t xml:space="preserve">; </w:t>
      </w:r>
      <w:hyperlink w:anchor="_ENREF_34" w:tooltip="Weinstein Agrawal, 2008 #130" w:history="1">
        <w:r w:rsidR="00B77B2A">
          <w:rPr>
            <w:noProof/>
          </w:rPr>
          <w:t>Weinstein Agrawal et al., 2008</w:t>
        </w:r>
      </w:hyperlink>
      <w:r w:rsidR="00446388">
        <w:rPr>
          <w:noProof/>
        </w:rPr>
        <w:t>)</w:t>
      </w:r>
      <w:r w:rsidRPr="00313C0B">
        <w:fldChar w:fldCharType="end"/>
      </w:r>
      <w:r w:rsidRPr="00313C0B">
        <w:t xml:space="preserve">. A maximum distance threshold of 1km from origin and destination is used to distinguish single-transfer </w:t>
      </w:r>
      <w:r w:rsidR="00613C8D">
        <w:t>journeys</w:t>
      </w:r>
      <w:r w:rsidRPr="00313C0B">
        <w:t xml:space="preserve"> from return trips. This study is only interested in single-transfer </w:t>
      </w:r>
      <w:r w:rsidR="00613C8D">
        <w:t>journeys</w:t>
      </w:r>
      <w:r w:rsidRPr="00313C0B">
        <w:t xml:space="preserve">, so if any </w:t>
      </w:r>
      <w:r w:rsidR="00613C8D">
        <w:t>journey</w:t>
      </w:r>
      <w:r w:rsidRPr="00313C0B">
        <w:t xml:space="preserve"> that has more than one transfer, the whole journey will be removed from the dataset. After the reconstruction process, a total of 11,409 journeys are identified </w:t>
      </w:r>
      <w:r w:rsidR="00FE13F7">
        <w:t>which account for 22,818 trips.</w:t>
      </w:r>
    </w:p>
    <w:p w:rsidR="00FE13F7" w:rsidRDefault="00FE13F7" w:rsidP="00631A58"/>
    <w:p w:rsidR="00FE13F7" w:rsidRDefault="00313C0B" w:rsidP="00FE13F7">
      <w:pPr>
        <w:pStyle w:val="Heading2"/>
        <w:numPr>
          <w:ilvl w:val="1"/>
          <w:numId w:val="2"/>
        </w:numPr>
        <w:ind w:left="709" w:hanging="709"/>
      </w:pPr>
      <w:r w:rsidRPr="00313C0B">
        <w:t>Mapping Transfer Points in Euclidean Space</w:t>
      </w:r>
    </w:p>
    <w:p w:rsidR="00FE13F7" w:rsidRPr="00FE13F7" w:rsidRDefault="00FE13F7" w:rsidP="00FE13F7"/>
    <w:p w:rsidR="007F122B" w:rsidRDefault="00313C0B" w:rsidP="0048264D">
      <w:r w:rsidRPr="00313C0B">
        <w:t xml:space="preserve">Due to the distinct nature of every transit </w:t>
      </w:r>
      <w:r w:rsidR="00613C8D">
        <w:t>journeys</w:t>
      </w:r>
      <w:r w:rsidRPr="00313C0B">
        <w:t xml:space="preserve">, all the single-transfer </w:t>
      </w:r>
      <w:r w:rsidR="00613C8D">
        <w:t>journeys</w:t>
      </w:r>
      <w:r w:rsidRPr="00313C0B">
        <w:t xml:space="preserve"> are </w:t>
      </w:r>
      <w:r w:rsidR="00613C8D">
        <w:t xml:space="preserve">transformed </w:t>
      </w:r>
      <w:r w:rsidRPr="00313C0B">
        <w:t xml:space="preserve">into a standardised space to discover meaningful patterns among them. The first step is to transform the </w:t>
      </w:r>
      <w:r w:rsidR="00613C8D">
        <w:t>journey</w:t>
      </w:r>
      <w:r w:rsidRPr="00313C0B">
        <w:t xml:space="preserve"> triangle OTD (Origin – Transfer – Destination) on a spherica</w:t>
      </w:r>
      <w:r w:rsidR="00631A58">
        <w:t>l earth’s surface</w:t>
      </w:r>
      <w:r w:rsidR="00613C8D">
        <w:t xml:space="preserve"> (latitude and longitude coordinates)</w:t>
      </w:r>
      <w:r w:rsidR="00631A58">
        <w:t xml:space="preserve"> </w:t>
      </w:r>
      <w:r w:rsidR="00613C8D">
        <w:t>in</w:t>
      </w:r>
      <w:r w:rsidR="00631A58">
        <w:t xml:space="preserve">to a </w:t>
      </w:r>
      <w:r w:rsidR="00886A49">
        <w:t>two-dimensional</w:t>
      </w:r>
      <w:r w:rsidR="00631A58">
        <w:t xml:space="preserve"> </w:t>
      </w:r>
      <w:r w:rsidR="00613C8D">
        <w:t>Euclidean space</w:t>
      </w:r>
      <w:r w:rsidR="00631A58">
        <w:t xml:space="preserve">. </w:t>
      </w:r>
      <w:r w:rsidRPr="00313C0B">
        <w:t xml:space="preserve">After the </w:t>
      </w:r>
      <w:r w:rsidR="00613C8D">
        <w:t>journey</w:t>
      </w:r>
      <w:r w:rsidRPr="00313C0B">
        <w:t xml:space="preserve"> triangle OTD is obtained, it needs to undergo a series of Euclidean transformations to display all the origin, destination and transfer points in a standardised </w:t>
      </w:r>
      <w:r w:rsidR="00613C8D">
        <w:t>Euclidean</w:t>
      </w:r>
      <w:r w:rsidRPr="00313C0B">
        <w:t xml:space="preserve"> space, as illustrated in </w:t>
      </w:r>
      <w:r w:rsidR="004E6ED1">
        <w:fldChar w:fldCharType="begin"/>
      </w:r>
      <w:r w:rsidR="004E6ED1">
        <w:instrText xml:space="preserve"> REF _Ref452481670 \h </w:instrText>
      </w:r>
      <w:r w:rsidR="0048264D">
        <w:instrText xml:space="preserve"> \* MERGEFORMAT </w:instrText>
      </w:r>
      <w:r w:rsidR="004E6ED1">
        <w:fldChar w:fldCharType="separate"/>
      </w:r>
      <w:r w:rsidR="004E6ED1" w:rsidRPr="007F122B">
        <w:t xml:space="preserve">Figure </w:t>
      </w:r>
      <w:r w:rsidR="004E6ED1">
        <w:rPr>
          <w:noProof/>
        </w:rPr>
        <w:t>2</w:t>
      </w:r>
      <w:r w:rsidR="004E6ED1">
        <w:fldChar w:fldCharType="end"/>
      </w:r>
      <w:r w:rsidR="004E6ED1">
        <w:t>.</w:t>
      </w:r>
      <w:bookmarkStart w:id="5" w:name="_Ref447797572"/>
      <w:bookmarkStart w:id="6" w:name="_Ref452456196"/>
    </w:p>
    <w:p w:rsidR="002E2376" w:rsidRDefault="002E2376" w:rsidP="0048264D">
      <w:pPr>
        <w:rPr>
          <w:rFonts w:cs="Arial"/>
          <w:b/>
          <w:sz w:val="20"/>
          <w:szCs w:val="20"/>
        </w:rPr>
      </w:pPr>
      <w:bookmarkStart w:id="7" w:name="_Ref452456229"/>
    </w:p>
    <w:p w:rsidR="00FE13F7" w:rsidRPr="007F122B" w:rsidRDefault="00FE13F7" w:rsidP="007F122B">
      <w:pPr>
        <w:pStyle w:val="Captions"/>
      </w:pPr>
      <w:bookmarkStart w:id="8" w:name="_Ref452481670"/>
      <w:r w:rsidRPr="007F122B">
        <w:t xml:space="preserve">Figure </w:t>
      </w:r>
      <w:fldSimple w:instr=" SEQ Figure \* ARABIC ">
        <w:r w:rsidR="00386530">
          <w:rPr>
            <w:noProof/>
          </w:rPr>
          <w:t>2</w:t>
        </w:r>
      </w:fldSimple>
      <w:bookmarkEnd w:id="5"/>
      <w:bookmarkEnd w:id="6"/>
      <w:bookmarkEnd w:id="7"/>
      <w:bookmarkEnd w:id="8"/>
      <w:r w:rsidRPr="007F122B">
        <w:t>: Euclidean transformations</w:t>
      </w:r>
    </w:p>
    <w:p w:rsidR="001A4E7B" w:rsidRPr="00260C03" w:rsidRDefault="001A4E7B" w:rsidP="001A4E7B"/>
    <w:p w:rsidR="00313C0B" w:rsidRPr="00313C0B" w:rsidRDefault="00313C0B" w:rsidP="00313C0B">
      <w:pPr>
        <w:rPr>
          <w:rFonts w:cs="Arial"/>
          <w:sz w:val="24"/>
          <w:szCs w:val="24"/>
        </w:rPr>
      </w:pPr>
      <w:r w:rsidRPr="00313C0B">
        <w:rPr>
          <w:rFonts w:cs="Arial"/>
          <w:noProof/>
          <w:sz w:val="24"/>
          <w:szCs w:val="24"/>
          <w:lang w:eastAsia="en-AU"/>
        </w:rPr>
        <w:drawing>
          <wp:inline distT="0" distB="0" distL="0" distR="0" wp14:anchorId="440DDEA8" wp14:editId="6323AE38">
            <wp:extent cx="5715000" cy="4343131"/>
            <wp:effectExtent l="0" t="0" r="0" b="635"/>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309"/>
                    <a:stretch/>
                  </pic:blipFill>
                  <pic:spPr bwMode="auto">
                    <a:xfrm>
                      <a:off x="0" y="0"/>
                      <a:ext cx="5714077" cy="4342430"/>
                    </a:xfrm>
                    <a:prstGeom prst="rect">
                      <a:avLst/>
                    </a:prstGeom>
                    <a:ln>
                      <a:noFill/>
                    </a:ln>
                    <a:extLst>
                      <a:ext uri="{53640926-AAD7-44D8-BBD7-CCE9431645EC}">
                        <a14:shadowObscured xmlns:a14="http://schemas.microsoft.com/office/drawing/2010/main"/>
                      </a:ext>
                    </a:extLst>
                  </pic:spPr>
                </pic:pic>
              </a:graphicData>
            </a:graphic>
          </wp:inline>
        </w:drawing>
      </w:r>
    </w:p>
    <w:p w:rsidR="00313C0B" w:rsidRPr="00313C0B" w:rsidRDefault="00313C0B" w:rsidP="00313C0B">
      <w:pPr>
        <w:rPr>
          <w:rFonts w:cs="Arial"/>
          <w:sz w:val="24"/>
          <w:szCs w:val="24"/>
        </w:rPr>
      </w:pPr>
    </w:p>
    <w:p w:rsidR="00313C0B" w:rsidRPr="00313C0B" w:rsidRDefault="00313C0B" w:rsidP="00631A58">
      <w:r w:rsidRPr="00313C0B">
        <w:t xml:space="preserve">The first step of Euclidean transformation is translation. Translation relocates the </w:t>
      </w:r>
      <w:r w:rsidR="00613C8D">
        <w:t>journey</w:t>
      </w:r>
      <w:r w:rsidRPr="00313C0B">
        <w:t xml:space="preserve"> triangle OTD to set the triangle’s origin point, O, at (0, 0). This transformation preserves the congruence and distance of the </w:t>
      </w:r>
      <w:r w:rsidR="00613C8D">
        <w:t>journey</w:t>
      </w:r>
      <w:r w:rsidRPr="00313C0B">
        <w:t xml:space="preserve"> triangle OTD. Applying the translation process to the single-transfer </w:t>
      </w:r>
      <w:r w:rsidR="00613C8D">
        <w:t>journeys</w:t>
      </w:r>
      <w:r w:rsidRPr="00313C0B">
        <w:t xml:space="preserve"> results in that all the </w:t>
      </w:r>
      <w:r w:rsidR="00613C8D">
        <w:t>journey</w:t>
      </w:r>
      <w:r w:rsidRPr="00313C0B">
        <w:t xml:space="preserve"> triangles to originate from the same point at (0, 0). The notation for translation (</w:t>
      </w:r>
      <m:oMath>
        <m:sSub>
          <m:sSubPr>
            <m:ctrlPr>
              <w:rPr>
                <w:rFonts w:ascii="Cambria Math" w:hAnsi="Cambria Math"/>
                <w:i/>
              </w:rPr>
            </m:ctrlPr>
          </m:sSubPr>
          <m:e>
            <m:r>
              <w:rPr>
                <w:rFonts w:ascii="Cambria Math" w:hAnsi="Cambria Math"/>
              </w:rPr>
              <m:t>T</m:t>
            </m:r>
          </m:e>
          <m:sub>
            <m:r>
              <w:rPr>
                <w:rFonts w:ascii="Cambria Math" w:hAnsi="Cambria Math"/>
              </w:rPr>
              <m:t>h,k</m:t>
            </m:r>
          </m:sub>
        </m:sSub>
      </m:oMath>
      <w:r w:rsidRPr="00313C0B">
        <w:t xml:space="preserve">) is shown in </w:t>
      </w:r>
      <w:r w:rsidRPr="00313C0B">
        <w:fldChar w:fldCharType="begin"/>
      </w:r>
      <w:r w:rsidRPr="00313C0B">
        <w:instrText xml:space="preserve"> REF _Ref444097302 \h  \* MERGEFORMAT </w:instrText>
      </w:r>
      <w:r w:rsidRPr="00313C0B">
        <w:fldChar w:fldCharType="separate"/>
      </w:r>
      <w:r w:rsidR="00386530" w:rsidRPr="00313C0B">
        <w:t xml:space="preserve">Equation </w:t>
      </w:r>
      <w:r w:rsidR="00386530">
        <w:t>1</w:t>
      </w:r>
      <w:r w:rsidRPr="00313C0B">
        <w:fldChar w:fldCharType="end"/>
      </w:r>
      <w:r w:rsidRPr="00313C0B">
        <w:t>.</w:t>
      </w:r>
      <w:r w:rsidR="00A26E2B">
        <w:t xml:space="preserve"> The </w:t>
      </w:r>
      <w:r w:rsidR="00AA5F14">
        <w:t xml:space="preserve">origin and </w:t>
      </w:r>
      <w:r w:rsidR="00A26E2B">
        <w:t>destination point</w:t>
      </w:r>
      <w:r w:rsidR="00AA5F14">
        <w:t>s</w:t>
      </w:r>
      <w:r w:rsidR="00A26E2B">
        <w:t xml:space="preserve"> will undergo the same transformation.</w:t>
      </w:r>
    </w:p>
    <w:p w:rsidR="00313C0B" w:rsidRPr="00313C0B" w:rsidRDefault="00313C0B" w:rsidP="00631A58"/>
    <w:tbl>
      <w:tblPr>
        <w:tblStyle w:val="TableGrid"/>
        <w:tblW w:w="4869"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6898"/>
        <w:gridCol w:w="1251"/>
      </w:tblGrid>
      <w:tr w:rsidR="00313C0B" w:rsidRPr="00313C0B" w:rsidTr="00194CD2">
        <w:trPr>
          <w:trHeight w:val="253"/>
        </w:trPr>
        <w:tc>
          <w:tcPr>
            <w:tcW w:w="473" w:type="pct"/>
            <w:vAlign w:val="center"/>
          </w:tcPr>
          <w:p w:rsidR="00313C0B" w:rsidRPr="00313C0B" w:rsidRDefault="00313C0B" w:rsidP="00631A58"/>
        </w:tc>
        <w:tc>
          <w:tcPr>
            <w:tcW w:w="3832" w:type="pct"/>
            <w:vAlign w:val="center"/>
          </w:tcPr>
          <w:p w:rsidR="00313C0B" w:rsidRPr="00AA5F14" w:rsidRDefault="00F63A7D" w:rsidP="00631A58">
            <w:pPr>
              <w:rPr>
                <w:rFonts w:cs="Arial"/>
              </w:rPr>
            </w:pPr>
            <m:oMathPara>
              <m:oMath>
                <m:sSub>
                  <m:sSubPr>
                    <m:ctrlPr>
                      <w:rPr>
                        <w:rFonts w:ascii="Cambria Math" w:hAnsi="Cambria Math" w:cs="Arial"/>
                        <w:i/>
                      </w:rPr>
                    </m:ctrlPr>
                  </m:sSubPr>
                  <m:e>
                    <m:r>
                      <w:rPr>
                        <w:rFonts w:ascii="Cambria Math" w:hAnsi="Cambria Math" w:cs="Arial"/>
                      </w:rPr>
                      <m:t>T</m:t>
                    </m:r>
                  </m:e>
                  <m:sub>
                    <m:r>
                      <w:rPr>
                        <w:rFonts w:ascii="Cambria Math" w:hAnsi="Cambria Math" w:cs="Arial"/>
                      </w:rPr>
                      <m:t>h,k</m:t>
                    </m:r>
                  </m:sub>
                </m:sSub>
                <m:r>
                  <w:rPr>
                    <w:rFonts w:ascii="Cambria Math" w:hAnsi="Cambria Math" w:cs="Arial"/>
                  </w:rPr>
                  <m:t xml:space="preserve"> </m:t>
                </m:r>
                <m:d>
                  <m:dPr>
                    <m:ctrlPr>
                      <w:rPr>
                        <w:rFonts w:ascii="Cambria Math" w:hAnsi="Cambria Math" w:cs="Arial"/>
                        <w:i/>
                      </w:rPr>
                    </m:ctrlPr>
                  </m:dPr>
                  <m:e>
                    <m:sSub>
                      <m:sSubPr>
                        <m:ctrlPr>
                          <w:rPr>
                            <w:rFonts w:ascii="Cambria Math" w:hAnsi="Cambria Math" w:cs="Arial"/>
                            <w:i/>
                          </w:rPr>
                        </m:ctrlPr>
                      </m:sSubPr>
                      <m:e>
                        <m:r>
                          <w:rPr>
                            <w:rFonts w:ascii="Cambria Math" w:hAnsi="Cambria Math" w:cs="Arial"/>
                          </w:rPr>
                          <m:t>T'</m:t>
                        </m:r>
                      </m:e>
                      <m:sub>
                        <m:r>
                          <w:rPr>
                            <w:rFonts w:ascii="Cambria Math" w:hAnsi="Cambria Math" w:cs="Arial"/>
                          </w:rPr>
                          <m:t>x</m:t>
                        </m:r>
                      </m:sub>
                    </m:sSub>
                    <m:r>
                      <w:rPr>
                        <w:rFonts w:ascii="Cambria Math" w:hAnsi="Cambria Math" w:cs="Arial"/>
                      </w:rPr>
                      <m:t>,</m:t>
                    </m:r>
                    <m:sSub>
                      <m:sSubPr>
                        <m:ctrlPr>
                          <w:rPr>
                            <w:rFonts w:ascii="Cambria Math" w:hAnsi="Cambria Math" w:cs="Arial"/>
                            <w:i/>
                          </w:rPr>
                        </m:ctrlPr>
                      </m:sSubPr>
                      <m:e>
                        <m:r>
                          <w:rPr>
                            <w:rFonts w:ascii="Cambria Math" w:hAnsi="Cambria Math" w:cs="Arial"/>
                          </w:rPr>
                          <m:t>T'</m:t>
                        </m:r>
                      </m:e>
                      <m:sub>
                        <m:r>
                          <w:rPr>
                            <w:rFonts w:ascii="Cambria Math" w:hAnsi="Cambria Math" w:cs="Arial"/>
                          </w:rPr>
                          <m:t>y</m:t>
                        </m:r>
                      </m:sub>
                    </m:sSub>
                  </m:e>
                </m:d>
                <m:r>
                  <w:rPr>
                    <w:rFonts w:ascii="Cambria Math" w:hAnsi="Cambria Math" w:cs="Arial"/>
                  </w:rPr>
                  <m:t>=(</m:t>
                </m:r>
                <m:sSub>
                  <m:sSubPr>
                    <m:ctrlPr>
                      <w:rPr>
                        <w:rFonts w:ascii="Cambria Math" w:hAnsi="Cambria Math" w:cs="Arial"/>
                        <w:i/>
                      </w:rPr>
                    </m:ctrlPr>
                  </m:sSubPr>
                  <m:e>
                    <m:r>
                      <w:rPr>
                        <w:rFonts w:ascii="Cambria Math" w:hAnsi="Cambria Math" w:cs="Arial"/>
                      </w:rPr>
                      <m:t>T</m:t>
                    </m:r>
                  </m:e>
                  <m:sub>
                    <m:r>
                      <w:rPr>
                        <w:rFonts w:ascii="Cambria Math" w:hAnsi="Cambria Math" w:cs="Arial"/>
                      </w:rPr>
                      <m:t>x</m:t>
                    </m:r>
                  </m:sub>
                </m:sSub>
                <m:r>
                  <w:rPr>
                    <w:rFonts w:ascii="Cambria Math" w:hAnsi="Cambria Math" w:cs="Arial"/>
                  </w:rPr>
                  <m:t xml:space="preserve">+h, </m:t>
                </m:r>
                <m:sSub>
                  <m:sSubPr>
                    <m:ctrlPr>
                      <w:rPr>
                        <w:rFonts w:ascii="Cambria Math" w:hAnsi="Cambria Math" w:cs="Arial"/>
                        <w:i/>
                      </w:rPr>
                    </m:ctrlPr>
                  </m:sSubPr>
                  <m:e>
                    <m:r>
                      <w:rPr>
                        <w:rFonts w:ascii="Cambria Math" w:hAnsi="Cambria Math" w:cs="Arial"/>
                      </w:rPr>
                      <m:t>T</m:t>
                    </m:r>
                  </m:e>
                  <m:sub>
                    <m:r>
                      <w:rPr>
                        <w:rFonts w:ascii="Cambria Math" w:hAnsi="Cambria Math" w:cs="Arial"/>
                      </w:rPr>
                      <m:t>y</m:t>
                    </m:r>
                  </m:sub>
                </m:sSub>
                <m:r>
                  <w:rPr>
                    <w:rFonts w:ascii="Cambria Math" w:hAnsi="Cambria Math" w:cs="Arial"/>
                  </w:rPr>
                  <m:t>+k)</m:t>
                </m:r>
              </m:oMath>
            </m:oMathPara>
          </w:p>
        </w:tc>
        <w:tc>
          <w:tcPr>
            <w:tcW w:w="696" w:type="pct"/>
            <w:vAlign w:val="center"/>
          </w:tcPr>
          <w:p w:rsidR="00313C0B" w:rsidRPr="00313C0B" w:rsidRDefault="00313C0B" w:rsidP="00B22A59">
            <w:pPr>
              <w:pStyle w:val="Captions"/>
            </w:pPr>
            <w:bookmarkStart w:id="9" w:name="_Ref444097302"/>
            <w:r w:rsidRPr="00313C0B">
              <w:t xml:space="preserve">Equation </w:t>
            </w:r>
            <w:fldSimple w:instr=" SEQ Equation \* ARABIC ">
              <w:r w:rsidR="00386530">
                <w:rPr>
                  <w:noProof/>
                </w:rPr>
                <w:t>1</w:t>
              </w:r>
            </w:fldSimple>
            <w:bookmarkEnd w:id="9"/>
          </w:p>
        </w:tc>
      </w:tr>
    </w:tbl>
    <w:p w:rsidR="00313C0B" w:rsidRDefault="00313C0B" w:rsidP="00631A58"/>
    <w:p w:rsidR="00AA5F14" w:rsidRDefault="00AA5F14" w:rsidP="00AA5F14">
      <w:proofErr w:type="gramStart"/>
      <w:r>
        <w:t>where</w:t>
      </w:r>
      <w:proofErr w:type="gramEnd"/>
      <w:r>
        <w:t>:</w:t>
      </w:r>
    </w:p>
    <w:p w:rsidR="00AA5F14" w:rsidRDefault="00F63A7D" w:rsidP="00AA5F14">
      <m:oMath>
        <m:sSub>
          <m:sSubPr>
            <m:ctrlPr>
              <w:rPr>
                <w:rFonts w:ascii="Cambria Math" w:hAnsi="Cambria Math"/>
                <w:i/>
              </w:rPr>
            </m:ctrlPr>
          </m:sSubPr>
          <m:e>
            <m:r>
              <w:rPr>
                <w:rFonts w:ascii="Cambria Math" w:hAnsi="Cambria Math"/>
              </w:rPr>
              <m:t>T</m:t>
            </m:r>
          </m:e>
          <m:sub>
            <m:r>
              <w:rPr>
                <w:rFonts w:ascii="Cambria Math" w:hAnsi="Cambria Math"/>
              </w:rPr>
              <m:t>h,k</m:t>
            </m:r>
          </m:sub>
        </m:sSub>
      </m:oMath>
      <w:r w:rsidR="00AA5F14">
        <w:tab/>
        <w:t>= The notation for translation</w:t>
      </w:r>
    </w:p>
    <w:p w:rsidR="00AA5F14" w:rsidRDefault="00F63A7D" w:rsidP="00AA5F14">
      <m:oMath>
        <m:sSub>
          <m:sSubPr>
            <m:ctrlPr>
              <w:rPr>
                <w:rFonts w:ascii="Cambria Math" w:hAnsi="Cambria Math" w:cs="Arial"/>
                <w:i/>
              </w:rPr>
            </m:ctrlPr>
          </m:sSubPr>
          <m:e>
            <m:r>
              <w:rPr>
                <w:rFonts w:ascii="Cambria Math" w:hAnsi="Cambria Math" w:cs="Arial"/>
              </w:rPr>
              <m:t>T</m:t>
            </m:r>
          </m:e>
          <m:sub>
            <m:r>
              <w:rPr>
                <w:rFonts w:ascii="Cambria Math" w:hAnsi="Cambria Math" w:cs="Arial"/>
              </w:rPr>
              <m:t>x</m:t>
            </m:r>
          </m:sub>
        </m:sSub>
      </m:oMath>
      <w:r w:rsidR="00AA5F14">
        <w:tab/>
        <w:t>= The original x coordinates for the transfer point</w:t>
      </w:r>
    </w:p>
    <w:p w:rsidR="00AA5F14" w:rsidRDefault="00F63A7D" w:rsidP="00631A58">
      <m:oMath>
        <m:sSub>
          <m:sSubPr>
            <m:ctrlPr>
              <w:rPr>
                <w:rFonts w:ascii="Cambria Math" w:hAnsi="Cambria Math" w:cs="Arial"/>
                <w:i/>
              </w:rPr>
            </m:ctrlPr>
          </m:sSubPr>
          <m:e>
            <m:r>
              <w:rPr>
                <w:rFonts w:ascii="Cambria Math" w:hAnsi="Cambria Math" w:cs="Arial"/>
              </w:rPr>
              <m:t>T</m:t>
            </m:r>
          </m:e>
          <m:sub>
            <m:r>
              <w:rPr>
                <w:rFonts w:ascii="Cambria Math" w:hAnsi="Cambria Math" w:cs="Arial"/>
              </w:rPr>
              <m:t>y</m:t>
            </m:r>
          </m:sub>
        </m:sSub>
      </m:oMath>
      <w:r w:rsidR="00AA5F14">
        <w:tab/>
        <w:t>= The original y coordinates for the transfer point</w:t>
      </w:r>
    </w:p>
    <w:p w:rsidR="00AA5F14" w:rsidRDefault="00F63A7D" w:rsidP="00AA5F14">
      <m:oMath>
        <m:sSub>
          <m:sSubPr>
            <m:ctrlPr>
              <w:rPr>
                <w:rFonts w:ascii="Cambria Math" w:hAnsi="Cambria Math" w:cs="Arial"/>
                <w:i/>
              </w:rPr>
            </m:ctrlPr>
          </m:sSubPr>
          <m:e>
            <m:r>
              <w:rPr>
                <w:rFonts w:ascii="Cambria Math" w:hAnsi="Cambria Math" w:cs="Arial"/>
              </w:rPr>
              <m:t>T'</m:t>
            </m:r>
          </m:e>
          <m:sub>
            <m:r>
              <w:rPr>
                <w:rFonts w:ascii="Cambria Math" w:hAnsi="Cambria Math" w:cs="Arial"/>
              </w:rPr>
              <m:t>x</m:t>
            </m:r>
          </m:sub>
        </m:sSub>
      </m:oMath>
      <w:r w:rsidR="00AA5F14">
        <w:tab/>
        <w:t>= The new x coordinates for the transfer point after translation</w:t>
      </w:r>
    </w:p>
    <w:p w:rsidR="00AA5F14" w:rsidRDefault="00F63A7D" w:rsidP="00AA5F14">
      <m:oMath>
        <m:sSub>
          <m:sSubPr>
            <m:ctrlPr>
              <w:rPr>
                <w:rFonts w:ascii="Cambria Math" w:hAnsi="Cambria Math" w:cs="Arial"/>
                <w:i/>
              </w:rPr>
            </m:ctrlPr>
          </m:sSubPr>
          <m:e>
            <m:r>
              <w:rPr>
                <w:rFonts w:ascii="Cambria Math" w:hAnsi="Cambria Math" w:cs="Arial"/>
              </w:rPr>
              <m:t>T'</m:t>
            </m:r>
          </m:e>
          <m:sub>
            <m:r>
              <w:rPr>
                <w:rFonts w:ascii="Cambria Math" w:hAnsi="Cambria Math" w:cs="Arial"/>
              </w:rPr>
              <m:t>y</m:t>
            </m:r>
          </m:sub>
        </m:sSub>
      </m:oMath>
      <w:r w:rsidR="00AA5F14">
        <w:tab/>
        <w:t>= The new y coordinates for the transfer point after translation</w:t>
      </w:r>
    </w:p>
    <w:p w:rsidR="00AA5F14" w:rsidRPr="00313C0B" w:rsidRDefault="00AA5F14" w:rsidP="00631A58"/>
    <w:p w:rsidR="00313C0B" w:rsidRPr="00313C0B" w:rsidRDefault="00313C0B" w:rsidP="00631A58">
      <w:r w:rsidRPr="00313C0B">
        <w:t xml:space="preserve">Preserving the congruence and distance, the </w:t>
      </w:r>
      <w:r w:rsidR="00613C8D">
        <w:t>journey</w:t>
      </w:r>
      <w:r w:rsidRPr="00313C0B">
        <w:t xml:space="preserve"> triangle OTD is rotated at O (0, 0) until the triangle plane, OD, rests on the x-axis. This transformation rotates all the </w:t>
      </w:r>
      <w:r w:rsidR="00613C8D">
        <w:t>journey</w:t>
      </w:r>
      <w:r w:rsidRPr="00313C0B">
        <w:t xml:space="preserve"> triangles to lay along the x-axis for the destination point, D, to have the coordinate of (x, 0). The notation for rotation is shown in </w:t>
      </w:r>
      <w:r w:rsidRPr="00313C0B">
        <w:fldChar w:fldCharType="begin"/>
      </w:r>
      <w:r w:rsidRPr="00313C0B">
        <w:instrText xml:space="preserve"> REF _Ref444097743 \h  \* MERGEFORMAT </w:instrText>
      </w:r>
      <w:r w:rsidRPr="00313C0B">
        <w:fldChar w:fldCharType="separate"/>
      </w:r>
      <w:r w:rsidR="00386530" w:rsidRPr="00313C0B">
        <w:t xml:space="preserve">Equation </w:t>
      </w:r>
      <w:r w:rsidR="00386530">
        <w:t>2</w:t>
      </w:r>
      <w:r w:rsidRPr="00313C0B">
        <w:fldChar w:fldCharType="end"/>
      </w:r>
      <w:r w:rsidRPr="00313C0B">
        <w:t>.</w:t>
      </w:r>
    </w:p>
    <w:p w:rsidR="00313C0B" w:rsidRPr="00313C0B" w:rsidRDefault="00313C0B" w:rsidP="00631A58"/>
    <w:tbl>
      <w:tblPr>
        <w:tblStyle w:val="TableGrid"/>
        <w:tblW w:w="4869"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6898"/>
        <w:gridCol w:w="1251"/>
      </w:tblGrid>
      <w:tr w:rsidR="00313C0B" w:rsidRPr="00313C0B" w:rsidTr="00194CD2">
        <w:trPr>
          <w:trHeight w:val="253"/>
        </w:trPr>
        <w:tc>
          <w:tcPr>
            <w:tcW w:w="473" w:type="pct"/>
            <w:vAlign w:val="center"/>
          </w:tcPr>
          <w:p w:rsidR="00313C0B" w:rsidRPr="00313C0B" w:rsidRDefault="00313C0B" w:rsidP="00631A58"/>
        </w:tc>
        <w:tc>
          <w:tcPr>
            <w:tcW w:w="3832" w:type="pct"/>
            <w:vAlign w:val="center"/>
          </w:tcPr>
          <w:p w:rsidR="00313C0B" w:rsidRPr="00313C0B" w:rsidRDefault="00F63A7D" w:rsidP="00631A58">
            <m:oMathPara>
              <m:oMathParaPr>
                <m:jc m:val="center"/>
              </m:oMathParaPr>
              <m:oMath>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T''</m:t>
                              </m:r>
                            </m:e>
                            <m:sub>
                              <m:r>
                                <w:rPr>
                                  <w:rFonts w:ascii="Cambria Math" w:hAnsi="Cambria Math"/>
                                </w:rPr>
                                <m:t>x</m:t>
                              </m:r>
                            </m:sub>
                          </m:sSub>
                        </m:e>
                      </m:mr>
                      <m:mr>
                        <m:e>
                          <m:sSub>
                            <m:sSubPr>
                              <m:ctrlPr>
                                <w:rPr>
                                  <w:rFonts w:ascii="Cambria Math" w:hAnsi="Cambria Math"/>
                                  <w:i/>
                                </w:rPr>
                              </m:ctrlPr>
                            </m:sSubPr>
                            <m:e>
                              <m:r>
                                <w:rPr>
                                  <w:rFonts w:ascii="Cambria Math" w:hAnsi="Cambria Math"/>
                                </w:rPr>
                                <m:t>T''</m:t>
                              </m:r>
                            </m:e>
                            <m:sub>
                              <m:r>
                                <w:rPr>
                                  <w:rFonts w:ascii="Cambria Math" w:hAnsi="Cambria Math"/>
                                </w:rPr>
                                <m:t>y</m:t>
                              </m:r>
                            </m:sub>
                          </m:sSub>
                        </m:e>
                      </m:mr>
                    </m:m>
                  </m:e>
                </m:d>
                <m:r>
                  <w:rPr>
                    <w:rFonts w:ascii="Cambria Math" w:hAnsi="Cambria Math"/>
                  </w:rPr>
                  <m:t>=</m:t>
                </m:r>
                <m:d>
                  <m:dPr>
                    <m:begChr m:val="["/>
                    <m:endChr m:val="]"/>
                    <m:ctrlPr>
                      <w:rPr>
                        <w:rFonts w:ascii="Cambria Math" w:hAnsi="Cambria Math"/>
                        <w:i/>
                      </w:rPr>
                    </m:ctrlPr>
                  </m:dPr>
                  <m:e>
                    <m:m>
                      <m:mPr>
                        <m:mcs>
                          <m:mc>
                            <m:mcPr>
                              <m:count m:val="2"/>
                              <m:mcJc m:val="center"/>
                            </m:mcPr>
                          </m:mc>
                        </m:mcs>
                        <m:ctrlPr>
                          <w:rPr>
                            <w:rFonts w:ascii="Cambria Math" w:hAnsi="Cambria Math"/>
                            <w:i/>
                          </w:rPr>
                        </m:ctrlPr>
                      </m:mPr>
                      <m:mr>
                        <m:e>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e>
                        <m:e>
                          <m:r>
                            <w:rPr>
                              <w:rFonts w:ascii="Cambria Math" w:hAnsi="Cambria Math"/>
                            </w:rPr>
                            <m:t>-</m:t>
                          </m:r>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e>
                      </m:mr>
                      <m:mr>
                        <m:e>
                          <m:func>
                            <m:funcPr>
                              <m:ctrlPr>
                                <w:rPr>
                                  <w:rFonts w:ascii="Cambria Math" w:hAnsi="Cambria Math"/>
                                  <w:i/>
                                </w:rPr>
                              </m:ctrlPr>
                            </m:funcPr>
                            <m:fName>
                              <m:r>
                                <m:rPr>
                                  <m:sty m:val="p"/>
                                </m:rPr>
                                <w:rPr>
                                  <w:rFonts w:ascii="Cambria Math" w:hAnsi="Cambria Math"/>
                                </w:rPr>
                                <m:t>sin</m:t>
                              </m:r>
                            </m:fName>
                            <m:e>
                              <m:r>
                                <w:rPr>
                                  <w:rFonts w:ascii="Cambria Math" w:hAnsi="Cambria Math"/>
                                </w:rPr>
                                <m:t>θ</m:t>
                              </m:r>
                            </m:e>
                          </m:func>
                        </m:e>
                        <m:e>
                          <m:func>
                            <m:funcPr>
                              <m:ctrlPr>
                                <w:rPr>
                                  <w:rFonts w:ascii="Cambria Math" w:hAnsi="Cambria Math"/>
                                  <w:i/>
                                </w:rPr>
                              </m:ctrlPr>
                            </m:funcPr>
                            <m:fName>
                              <m:r>
                                <m:rPr>
                                  <m:sty m:val="p"/>
                                </m:rPr>
                                <w:rPr>
                                  <w:rFonts w:ascii="Cambria Math" w:hAnsi="Cambria Math"/>
                                </w:rPr>
                                <m:t>cos</m:t>
                              </m:r>
                            </m:fName>
                            <m:e>
                              <m:r>
                                <w:rPr>
                                  <w:rFonts w:ascii="Cambria Math" w:hAnsi="Cambria Math"/>
                                </w:rPr>
                                <m:t>θ</m:t>
                              </m:r>
                            </m:e>
                          </m:func>
                        </m:e>
                      </m:mr>
                    </m:m>
                  </m:e>
                </m:d>
                <m:d>
                  <m:dPr>
                    <m:begChr m:val="["/>
                    <m:endChr m:val="]"/>
                    <m:ctrlPr>
                      <w:rPr>
                        <w:rFonts w:ascii="Cambria Math" w:hAnsi="Cambria Math"/>
                        <w:i/>
                      </w:rPr>
                    </m:ctrlPr>
                  </m:dPr>
                  <m:e>
                    <m:m>
                      <m:mPr>
                        <m:mcs>
                          <m:mc>
                            <m:mcPr>
                              <m:count m:val="1"/>
                              <m:mcJc m:val="center"/>
                            </m:mcPr>
                          </m:mc>
                        </m:mcs>
                        <m:ctrlPr>
                          <w:rPr>
                            <w:rFonts w:ascii="Cambria Math" w:hAnsi="Cambria Math"/>
                            <w:i/>
                          </w:rPr>
                        </m:ctrlPr>
                      </m:mPr>
                      <m:mr>
                        <m:e>
                          <m:sSub>
                            <m:sSubPr>
                              <m:ctrlPr>
                                <w:rPr>
                                  <w:rFonts w:ascii="Cambria Math" w:hAnsi="Cambria Math"/>
                                  <w:i/>
                                </w:rPr>
                              </m:ctrlPr>
                            </m:sSubPr>
                            <m:e>
                              <m:r>
                                <w:rPr>
                                  <w:rFonts w:ascii="Cambria Math" w:hAnsi="Cambria Math"/>
                                </w:rPr>
                                <m:t>T'</m:t>
                              </m:r>
                            </m:e>
                            <m:sub>
                              <m:r>
                                <w:rPr>
                                  <w:rFonts w:ascii="Cambria Math" w:hAnsi="Cambria Math"/>
                                </w:rPr>
                                <m:t>x</m:t>
                              </m:r>
                            </m:sub>
                          </m:sSub>
                        </m:e>
                      </m:mr>
                      <m:mr>
                        <m:e>
                          <m:sSub>
                            <m:sSubPr>
                              <m:ctrlPr>
                                <w:rPr>
                                  <w:rFonts w:ascii="Cambria Math" w:hAnsi="Cambria Math"/>
                                  <w:i/>
                                </w:rPr>
                              </m:ctrlPr>
                            </m:sSubPr>
                            <m:e>
                              <m:r>
                                <w:rPr>
                                  <w:rFonts w:ascii="Cambria Math" w:hAnsi="Cambria Math"/>
                                </w:rPr>
                                <m:t>T'</m:t>
                              </m:r>
                            </m:e>
                            <m:sub>
                              <m:r>
                                <w:rPr>
                                  <w:rFonts w:ascii="Cambria Math" w:hAnsi="Cambria Math"/>
                                </w:rPr>
                                <m:t>y</m:t>
                              </m:r>
                            </m:sub>
                          </m:sSub>
                        </m:e>
                      </m:mr>
                    </m:m>
                  </m:e>
                </m:d>
              </m:oMath>
            </m:oMathPara>
          </w:p>
        </w:tc>
        <w:tc>
          <w:tcPr>
            <w:tcW w:w="696" w:type="pct"/>
            <w:vAlign w:val="center"/>
          </w:tcPr>
          <w:p w:rsidR="00313C0B" w:rsidRPr="00313C0B" w:rsidRDefault="00313C0B" w:rsidP="00B22A59">
            <w:pPr>
              <w:pStyle w:val="Captions"/>
            </w:pPr>
            <w:bookmarkStart w:id="10" w:name="_Ref444097743"/>
            <w:r w:rsidRPr="00313C0B">
              <w:t xml:space="preserve">Equation </w:t>
            </w:r>
            <w:fldSimple w:instr=" SEQ Equation \* ARABIC ">
              <w:r w:rsidR="00386530">
                <w:rPr>
                  <w:noProof/>
                </w:rPr>
                <w:t>2</w:t>
              </w:r>
            </w:fldSimple>
            <w:bookmarkEnd w:id="10"/>
          </w:p>
        </w:tc>
      </w:tr>
    </w:tbl>
    <w:p w:rsidR="00313C0B" w:rsidRDefault="00313C0B" w:rsidP="00631A58"/>
    <w:p w:rsidR="00AA5F14" w:rsidRDefault="00AA5F14" w:rsidP="00AA5F14">
      <w:proofErr w:type="gramStart"/>
      <w:r>
        <w:t>where</w:t>
      </w:r>
      <w:proofErr w:type="gramEnd"/>
      <w:r>
        <w:t>:</w:t>
      </w:r>
    </w:p>
    <w:p w:rsidR="00AA5F14" w:rsidRDefault="00AA5F14" w:rsidP="00AA5F14">
      <m:oMath>
        <m:r>
          <w:rPr>
            <w:rFonts w:ascii="Cambria Math" w:hAnsi="Cambria Math"/>
          </w:rPr>
          <m:t>θ</m:t>
        </m:r>
      </m:oMath>
      <w:r>
        <w:tab/>
        <w:t>= The angle of rotation at new origin point (0</w:t>
      </w:r>
      <w:proofErr w:type="gramStart"/>
      <w:r>
        <w:t>,0</w:t>
      </w:r>
      <w:proofErr w:type="gramEnd"/>
      <w:r>
        <w:t>)</w:t>
      </w:r>
    </w:p>
    <w:p w:rsidR="00AA5F14" w:rsidRDefault="00F63A7D" w:rsidP="00AA5F14">
      <m:oMath>
        <m:sSub>
          <m:sSubPr>
            <m:ctrlPr>
              <w:rPr>
                <w:rFonts w:ascii="Cambria Math" w:hAnsi="Cambria Math"/>
                <w:i/>
              </w:rPr>
            </m:ctrlPr>
          </m:sSubPr>
          <m:e>
            <m:r>
              <w:rPr>
                <w:rFonts w:ascii="Cambria Math" w:hAnsi="Cambria Math"/>
              </w:rPr>
              <m:t>T''</m:t>
            </m:r>
          </m:e>
          <m:sub>
            <m:r>
              <w:rPr>
                <w:rFonts w:ascii="Cambria Math" w:hAnsi="Cambria Math"/>
              </w:rPr>
              <m:t>x</m:t>
            </m:r>
          </m:sub>
        </m:sSub>
      </m:oMath>
      <w:r w:rsidR="00AA5F14">
        <w:tab/>
        <w:t>= The new x coordinates for the transfer point after rotation</w:t>
      </w:r>
    </w:p>
    <w:p w:rsidR="00AA5F14" w:rsidRDefault="00F63A7D" w:rsidP="00AA5F14">
      <m:oMath>
        <m:sSub>
          <m:sSubPr>
            <m:ctrlPr>
              <w:rPr>
                <w:rFonts w:ascii="Cambria Math" w:hAnsi="Cambria Math"/>
                <w:i/>
              </w:rPr>
            </m:ctrlPr>
          </m:sSubPr>
          <m:e>
            <m:r>
              <w:rPr>
                <w:rFonts w:ascii="Cambria Math" w:hAnsi="Cambria Math"/>
              </w:rPr>
              <m:t>T''</m:t>
            </m:r>
          </m:e>
          <m:sub>
            <m:r>
              <w:rPr>
                <w:rFonts w:ascii="Cambria Math" w:hAnsi="Cambria Math"/>
              </w:rPr>
              <m:t>y</m:t>
            </m:r>
          </m:sub>
        </m:sSub>
      </m:oMath>
      <w:r w:rsidR="00AA5F14">
        <w:tab/>
        <w:t>= The new y coordinates for the transfer point after rotation</w:t>
      </w:r>
    </w:p>
    <w:p w:rsidR="00AA5F14" w:rsidRPr="00313C0B" w:rsidRDefault="00AA5F14" w:rsidP="00631A58"/>
    <w:p w:rsidR="00313C0B" w:rsidRPr="007F122B" w:rsidRDefault="00313C0B" w:rsidP="004E6ED1">
      <w:r w:rsidRPr="00313C0B">
        <w:t xml:space="preserve">At this stage, all </w:t>
      </w:r>
      <w:r w:rsidR="00613C8D">
        <w:t>journey</w:t>
      </w:r>
      <w:r w:rsidRPr="00313C0B">
        <w:t xml:space="preserve"> triangles OTD lay on the same plane (x-axis). The next step of the transformation is to loosen up the restriction to consider bijection which preserve the shape and angles of </w:t>
      </w:r>
      <w:r w:rsidR="00A26E2B">
        <w:t xml:space="preserve">the triangle, but not distance. Next step is to transform all </w:t>
      </w:r>
      <w:r w:rsidR="00613C8D">
        <w:t>journey</w:t>
      </w:r>
      <w:r w:rsidR="00A26E2B">
        <w:t xml:space="preserve"> triangles </w:t>
      </w:r>
      <w:r w:rsidR="00543D63">
        <w:t xml:space="preserve">to have the same OD unit distance, </w:t>
      </w:r>
      <w:r w:rsidRPr="00313C0B">
        <w:t>as sho</w:t>
      </w:r>
      <w:r w:rsidRPr="00631A58">
        <w:t>wn</w:t>
      </w:r>
      <w:r w:rsidRPr="00313C0B">
        <w:t xml:space="preserve"> in</w:t>
      </w:r>
      <w:r w:rsidRPr="00B22A59">
        <w:t xml:space="preserve"> </w:t>
      </w:r>
      <w:r w:rsidR="004E6ED1">
        <w:fldChar w:fldCharType="begin"/>
      </w:r>
      <w:r w:rsidR="004E6ED1">
        <w:instrText xml:space="preserve"> REF _Ref452481670 \h  \* MERGEFORMAT </w:instrText>
      </w:r>
      <w:r w:rsidR="004E6ED1">
        <w:fldChar w:fldCharType="separate"/>
      </w:r>
      <w:r w:rsidR="004E6ED1" w:rsidRPr="007F122B">
        <w:t xml:space="preserve">Figure </w:t>
      </w:r>
      <w:r w:rsidR="004E6ED1">
        <w:rPr>
          <w:noProof/>
        </w:rPr>
        <w:t>2</w:t>
      </w:r>
      <w:r w:rsidR="004E6ED1">
        <w:fldChar w:fldCharType="end"/>
      </w:r>
      <w:r w:rsidR="004E6ED1">
        <w:t>.</w:t>
      </w:r>
      <w:r w:rsidR="007F122B">
        <w:t xml:space="preserve"> </w:t>
      </w:r>
      <w:r w:rsidRPr="00B22A59">
        <w:t>T</w:t>
      </w:r>
      <w:r w:rsidRPr="00313C0B">
        <w:t>he notation for compression and dilation (</w:t>
      </w:r>
      <m:oMath>
        <m:sSub>
          <m:sSubPr>
            <m:ctrlPr>
              <w:rPr>
                <w:rFonts w:ascii="Cambria Math" w:hAnsi="Cambria Math"/>
                <w:i/>
              </w:rPr>
            </m:ctrlPr>
          </m:sSubPr>
          <m:e>
            <m:r>
              <w:rPr>
                <w:rFonts w:ascii="Cambria Math" w:hAnsi="Cambria Math"/>
              </w:rPr>
              <m:t>CD</m:t>
            </m:r>
          </m:e>
          <m:sub>
            <m:r>
              <w:rPr>
                <w:rFonts w:ascii="Cambria Math" w:hAnsi="Cambria Math"/>
              </w:rPr>
              <m:t>k</m:t>
            </m:r>
          </m:sub>
        </m:sSub>
      </m:oMath>
      <w:r w:rsidRPr="00313C0B">
        <w:t xml:space="preserve">) is shown in </w:t>
      </w:r>
      <w:r w:rsidRPr="00313C0B">
        <w:fldChar w:fldCharType="begin"/>
      </w:r>
      <w:r w:rsidRPr="00313C0B">
        <w:instrText xml:space="preserve"> REF _Ref444100512 \h  \* MERGEFORMAT </w:instrText>
      </w:r>
      <w:r w:rsidRPr="00313C0B">
        <w:fldChar w:fldCharType="separate"/>
      </w:r>
      <w:r w:rsidR="00386530" w:rsidRPr="00313C0B">
        <w:t xml:space="preserve">Equation </w:t>
      </w:r>
      <w:r w:rsidR="00386530">
        <w:t>3</w:t>
      </w:r>
      <w:r w:rsidRPr="00313C0B">
        <w:fldChar w:fldCharType="end"/>
      </w:r>
      <w:r w:rsidRPr="00313C0B">
        <w:t>.</w:t>
      </w:r>
    </w:p>
    <w:p w:rsidR="00313C0B" w:rsidRPr="00313C0B" w:rsidRDefault="00313C0B" w:rsidP="00631A58"/>
    <w:tbl>
      <w:tblPr>
        <w:tblStyle w:val="TableGrid"/>
        <w:tblW w:w="4869"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6898"/>
        <w:gridCol w:w="1251"/>
      </w:tblGrid>
      <w:tr w:rsidR="00313C0B" w:rsidRPr="00313C0B" w:rsidTr="00194CD2">
        <w:trPr>
          <w:trHeight w:val="253"/>
        </w:trPr>
        <w:tc>
          <w:tcPr>
            <w:tcW w:w="473" w:type="pct"/>
            <w:vAlign w:val="center"/>
          </w:tcPr>
          <w:p w:rsidR="00313C0B" w:rsidRPr="00313C0B" w:rsidRDefault="00313C0B" w:rsidP="004E6ED1">
            <w:pPr>
              <w:jc w:val="center"/>
            </w:pPr>
          </w:p>
        </w:tc>
        <w:tc>
          <w:tcPr>
            <w:tcW w:w="3832" w:type="pct"/>
            <w:vAlign w:val="center"/>
          </w:tcPr>
          <w:p w:rsidR="00313C0B" w:rsidRPr="00313C0B" w:rsidRDefault="00F63A7D" w:rsidP="004E6ED1">
            <w:pPr>
              <w:jc w:val="center"/>
            </w:pPr>
            <m:oMathPara>
              <m:oMathParaPr>
                <m:jc m:val="center"/>
              </m:oMathParaPr>
              <m:oMath>
                <m:sSub>
                  <m:sSubPr>
                    <m:ctrlPr>
                      <w:rPr>
                        <w:rFonts w:ascii="Cambria Math" w:hAnsi="Cambria Math"/>
                        <w:i/>
                      </w:rPr>
                    </m:ctrlPr>
                  </m:sSubPr>
                  <m:e>
                    <m:r>
                      <w:rPr>
                        <w:rFonts w:ascii="Cambria Math" w:hAnsi="Cambria Math"/>
                      </w:rPr>
                      <m:t>CD</m:t>
                    </m:r>
                  </m:e>
                  <m:sub>
                    <m:r>
                      <w:rPr>
                        <w:rFonts w:ascii="Cambria Math" w:hAnsi="Cambria Math"/>
                      </w:rPr>
                      <m:t>k</m:t>
                    </m:r>
                  </m:sub>
                </m:sSub>
                <m:r>
                  <w:rPr>
                    <w:rFonts w:ascii="Cambria Math" w:hAnsi="Cambria Math"/>
                  </w:rPr>
                  <m:t xml:space="preserve"> </m:t>
                </m:r>
                <m:d>
                  <m:dPr>
                    <m:ctrlPr>
                      <w:rPr>
                        <w:rFonts w:ascii="Cambria Math" w:hAnsi="Cambria Math"/>
                        <w:i/>
                      </w:rPr>
                    </m:ctrlPr>
                  </m:dPr>
                  <m:e>
                    <m:sSub>
                      <m:sSubPr>
                        <m:ctrlPr>
                          <w:rPr>
                            <w:rFonts w:ascii="Cambria Math" w:hAnsi="Cambria Math"/>
                            <w:i/>
                          </w:rPr>
                        </m:ctrlPr>
                      </m:sSubPr>
                      <m:e>
                        <m:r>
                          <w:rPr>
                            <w:rFonts w:ascii="Cambria Math" w:hAnsi="Cambria Math"/>
                          </w:rPr>
                          <m:t>T'''</m:t>
                        </m:r>
                      </m:e>
                      <m:sub>
                        <m: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y</m:t>
                        </m:r>
                      </m:sub>
                    </m:sSub>
                  </m:e>
                </m:d>
                <m:r>
                  <w:rPr>
                    <w:rFonts w:ascii="Cambria Math" w:hAnsi="Cambria Math"/>
                  </w:rPr>
                  <m:t>=(</m:t>
                </m:r>
                <m:sSub>
                  <m:sSubPr>
                    <m:ctrlPr>
                      <w:rPr>
                        <w:rFonts w:ascii="Cambria Math" w:hAnsi="Cambria Math"/>
                        <w:i/>
                      </w:rPr>
                    </m:ctrlPr>
                  </m:sSubPr>
                  <m:e>
                    <m:r>
                      <w:rPr>
                        <w:rFonts w:ascii="Cambria Math" w:hAnsi="Cambria Math"/>
                      </w:rPr>
                      <m:t>kT''</m:t>
                    </m:r>
                  </m:e>
                  <m:sub>
                    <m:r>
                      <w:rPr>
                        <w:rFonts w:ascii="Cambria Math" w:hAnsi="Cambria Math"/>
                      </w:rPr>
                      <m:t>x</m:t>
                    </m:r>
                  </m:sub>
                </m:sSub>
                <m:r>
                  <w:rPr>
                    <w:rFonts w:ascii="Cambria Math" w:hAnsi="Cambria Math"/>
                  </w:rPr>
                  <m:t>,</m:t>
                </m:r>
                <m:sSub>
                  <m:sSubPr>
                    <m:ctrlPr>
                      <w:rPr>
                        <w:rFonts w:ascii="Cambria Math" w:hAnsi="Cambria Math"/>
                        <w:i/>
                      </w:rPr>
                    </m:ctrlPr>
                  </m:sSubPr>
                  <m:e>
                    <m:r>
                      <w:rPr>
                        <w:rFonts w:ascii="Cambria Math" w:hAnsi="Cambria Math"/>
                      </w:rPr>
                      <m:t>kT''</m:t>
                    </m:r>
                  </m:e>
                  <m:sub>
                    <m:r>
                      <w:rPr>
                        <w:rFonts w:ascii="Cambria Math" w:hAnsi="Cambria Math"/>
                      </w:rPr>
                      <m:t>y</m:t>
                    </m:r>
                  </m:sub>
                </m:sSub>
                <m:r>
                  <w:rPr>
                    <w:rFonts w:ascii="Cambria Math" w:hAnsi="Cambria Math"/>
                  </w:rPr>
                  <m:t>)</m:t>
                </m:r>
              </m:oMath>
            </m:oMathPara>
          </w:p>
        </w:tc>
        <w:tc>
          <w:tcPr>
            <w:tcW w:w="696" w:type="pct"/>
            <w:vAlign w:val="center"/>
          </w:tcPr>
          <w:p w:rsidR="00313C0B" w:rsidRPr="00313C0B" w:rsidRDefault="00313C0B" w:rsidP="00B22A59">
            <w:pPr>
              <w:pStyle w:val="Captions"/>
            </w:pPr>
            <w:bookmarkStart w:id="11" w:name="_Ref444100512"/>
            <w:r w:rsidRPr="00313C0B">
              <w:t xml:space="preserve">Equation </w:t>
            </w:r>
            <w:fldSimple w:instr=" SEQ Equation \* ARABIC ">
              <w:r w:rsidR="00386530">
                <w:rPr>
                  <w:noProof/>
                </w:rPr>
                <w:t>3</w:t>
              </w:r>
            </w:fldSimple>
            <w:bookmarkEnd w:id="11"/>
          </w:p>
        </w:tc>
      </w:tr>
    </w:tbl>
    <w:p w:rsidR="00613C8D" w:rsidRDefault="00613C8D" w:rsidP="004E6ED1">
      <w:pPr>
        <w:rPr>
          <w:rFonts w:cs="Arial"/>
          <w:b/>
          <w:sz w:val="20"/>
          <w:szCs w:val="20"/>
        </w:rPr>
      </w:pPr>
    </w:p>
    <w:p w:rsidR="00AA5F14" w:rsidRDefault="00AA5F14" w:rsidP="00AA5F14">
      <w:proofErr w:type="gramStart"/>
      <w:r>
        <w:t>where</w:t>
      </w:r>
      <w:proofErr w:type="gramEnd"/>
      <w:r>
        <w:t>:</w:t>
      </w:r>
    </w:p>
    <w:p w:rsidR="00AA5F14" w:rsidRDefault="00F63A7D" w:rsidP="00AA5F14">
      <m:oMath>
        <m:sSub>
          <m:sSubPr>
            <m:ctrlPr>
              <w:rPr>
                <w:rFonts w:ascii="Cambria Math" w:hAnsi="Cambria Math"/>
                <w:i/>
              </w:rPr>
            </m:ctrlPr>
          </m:sSubPr>
          <m:e>
            <m:r>
              <w:rPr>
                <w:rFonts w:ascii="Cambria Math" w:hAnsi="Cambria Math"/>
              </w:rPr>
              <m:t>CD</m:t>
            </m:r>
          </m:e>
          <m:sub>
            <m:r>
              <w:rPr>
                <w:rFonts w:ascii="Cambria Math" w:hAnsi="Cambria Math"/>
              </w:rPr>
              <m:t>k</m:t>
            </m:r>
          </m:sub>
        </m:sSub>
      </m:oMath>
      <w:r w:rsidR="00AA5F14">
        <w:tab/>
        <w:t xml:space="preserve">= </w:t>
      </w:r>
      <w:r w:rsidR="00AA5F14" w:rsidRPr="00B22A59">
        <w:t>T</w:t>
      </w:r>
      <w:r w:rsidR="00AA5F14">
        <w:t xml:space="preserve">he notation for compression / </w:t>
      </w:r>
      <w:r w:rsidR="00AA5F14" w:rsidRPr="00313C0B">
        <w:t>dilation</w:t>
      </w:r>
    </w:p>
    <w:p w:rsidR="00AA5F14" w:rsidRDefault="00F63A7D" w:rsidP="00AA5F14">
      <m:oMath>
        <m:sSub>
          <m:sSubPr>
            <m:ctrlPr>
              <w:rPr>
                <w:rFonts w:ascii="Cambria Math" w:hAnsi="Cambria Math"/>
                <w:i/>
              </w:rPr>
            </m:ctrlPr>
          </m:sSubPr>
          <m:e>
            <m:r>
              <w:rPr>
                <w:rFonts w:ascii="Cambria Math" w:hAnsi="Cambria Math"/>
              </w:rPr>
              <m:t>T'''</m:t>
            </m:r>
          </m:e>
          <m:sub>
            <m:r>
              <w:rPr>
                <w:rFonts w:ascii="Cambria Math" w:hAnsi="Cambria Math"/>
              </w:rPr>
              <m:t>x</m:t>
            </m:r>
          </m:sub>
        </m:sSub>
      </m:oMath>
      <w:r w:rsidR="00AA5F14">
        <w:tab/>
        <w:t>= The new x coordinates for the transfer point after compression / dilation</w:t>
      </w:r>
    </w:p>
    <w:p w:rsidR="00AA5F14" w:rsidRPr="00AA5F14" w:rsidRDefault="00F63A7D" w:rsidP="004E6ED1">
      <m:oMath>
        <m:sSub>
          <m:sSubPr>
            <m:ctrlPr>
              <w:rPr>
                <w:rFonts w:ascii="Cambria Math" w:hAnsi="Cambria Math"/>
                <w:i/>
              </w:rPr>
            </m:ctrlPr>
          </m:sSubPr>
          <m:e>
            <m:r>
              <w:rPr>
                <w:rFonts w:ascii="Cambria Math" w:hAnsi="Cambria Math"/>
              </w:rPr>
              <m:t>T'''</m:t>
            </m:r>
          </m:e>
          <m:sub>
            <m:r>
              <w:rPr>
                <w:rFonts w:ascii="Cambria Math" w:hAnsi="Cambria Math"/>
              </w:rPr>
              <m:t>y</m:t>
            </m:r>
          </m:sub>
        </m:sSub>
      </m:oMath>
      <w:r w:rsidR="00AA5F14">
        <w:tab/>
        <w:t>= The new y coordinates for the transfer point after compression / dilation</w:t>
      </w:r>
    </w:p>
    <w:p w:rsidR="00AA5F14" w:rsidRDefault="00AA5F14" w:rsidP="004E6ED1">
      <w:pPr>
        <w:rPr>
          <w:rFonts w:cs="Arial"/>
          <w:b/>
          <w:sz w:val="20"/>
          <w:szCs w:val="20"/>
        </w:rPr>
      </w:pPr>
    </w:p>
    <w:p w:rsidR="00313C0B" w:rsidRPr="00313C0B" w:rsidRDefault="00B22A59" w:rsidP="004E6ED1">
      <w:r>
        <w:rPr>
          <w:rFonts w:cs="Arial"/>
          <w:b/>
          <w:sz w:val="20"/>
          <w:szCs w:val="20"/>
        </w:rPr>
        <w:fldChar w:fldCharType="begin"/>
      </w:r>
      <w:r>
        <w:instrText xml:space="preserve"> REF _Ref452454843 \h </w:instrText>
      </w:r>
      <w:r w:rsidR="004E6ED1">
        <w:instrText xml:space="preserve"> \* MERGEFORMAT </w:instrText>
      </w:r>
      <w:r>
        <w:rPr>
          <w:rFonts w:cs="Arial"/>
          <w:b/>
          <w:sz w:val="20"/>
          <w:szCs w:val="20"/>
        </w:rPr>
      </w:r>
      <w:r>
        <w:rPr>
          <w:rFonts w:cs="Arial"/>
          <w:b/>
          <w:sz w:val="20"/>
          <w:szCs w:val="20"/>
        </w:rPr>
        <w:fldChar w:fldCharType="separate"/>
      </w:r>
      <w:r w:rsidR="00386530" w:rsidRPr="00313C0B">
        <w:t xml:space="preserve">Figure </w:t>
      </w:r>
      <w:r w:rsidR="00386530">
        <w:rPr>
          <w:noProof/>
        </w:rPr>
        <w:t>3</w:t>
      </w:r>
      <w:r>
        <w:fldChar w:fldCharType="end"/>
      </w:r>
      <w:r>
        <w:t xml:space="preserve"> </w:t>
      </w:r>
      <w:r w:rsidR="00313C0B" w:rsidRPr="00313C0B">
        <w:t xml:space="preserve">illustrates the transfer points of the single-transfer bus </w:t>
      </w:r>
      <w:r w:rsidR="00613C8D">
        <w:t>journey</w:t>
      </w:r>
      <w:r w:rsidR="00313C0B" w:rsidRPr="00313C0B">
        <w:t>s, transformed to the scale of OD distance for both x and y axis. This study assumes this plot to represent the cognitive “preference” for transfer location of th</w:t>
      </w:r>
      <w:r w:rsidR="00A26B3D">
        <w:t>e travellers in the study area.</w:t>
      </w:r>
    </w:p>
    <w:p w:rsidR="007F122B" w:rsidRDefault="007F122B" w:rsidP="00FE13F7">
      <w:pPr>
        <w:pStyle w:val="Captions"/>
      </w:pPr>
      <w:bookmarkStart w:id="12" w:name="_Ref452454843"/>
    </w:p>
    <w:p w:rsidR="00FE13F7" w:rsidRPr="00313C0B" w:rsidRDefault="00FE13F7" w:rsidP="00FE13F7">
      <w:pPr>
        <w:pStyle w:val="Captions"/>
      </w:pPr>
      <w:r w:rsidRPr="00313C0B">
        <w:t xml:space="preserve">Figure </w:t>
      </w:r>
      <w:fldSimple w:instr=" SEQ Figure \* ARABIC ">
        <w:r w:rsidR="00386530">
          <w:rPr>
            <w:noProof/>
          </w:rPr>
          <w:t>3</w:t>
        </w:r>
      </w:fldSimple>
      <w:bookmarkEnd w:id="12"/>
      <w:r w:rsidRPr="00313C0B">
        <w:t>: Cognitive transfer locations in Euclidean space</w:t>
      </w:r>
    </w:p>
    <w:p w:rsidR="00313C0B" w:rsidRPr="00313C0B" w:rsidRDefault="00313C0B" w:rsidP="00313C0B">
      <w:pPr>
        <w:rPr>
          <w:rFonts w:cs="Arial"/>
          <w:sz w:val="24"/>
          <w:szCs w:val="24"/>
        </w:rPr>
      </w:pPr>
    </w:p>
    <w:p w:rsidR="00313C0B" w:rsidRPr="00313C0B" w:rsidRDefault="00313C0B" w:rsidP="00313C0B">
      <w:pPr>
        <w:rPr>
          <w:rFonts w:cs="Arial"/>
          <w:sz w:val="24"/>
          <w:szCs w:val="24"/>
        </w:rPr>
      </w:pPr>
      <w:r w:rsidRPr="00313C0B">
        <w:rPr>
          <w:rFonts w:cs="Arial"/>
          <w:noProof/>
          <w:sz w:val="24"/>
          <w:szCs w:val="24"/>
          <w:lang w:eastAsia="en-AU"/>
        </w:rPr>
        <w:drawing>
          <wp:inline distT="0" distB="0" distL="0" distR="0" wp14:anchorId="6ADF765A" wp14:editId="19CC5D00">
            <wp:extent cx="5715000" cy="3932953"/>
            <wp:effectExtent l="0" t="0" r="0" b="0"/>
            <wp:docPr id="2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b="1027"/>
                    <a:stretch/>
                  </pic:blipFill>
                  <pic:spPr bwMode="auto">
                    <a:xfrm>
                      <a:off x="0" y="0"/>
                      <a:ext cx="5717194" cy="3934463"/>
                    </a:xfrm>
                    <a:prstGeom prst="rect">
                      <a:avLst/>
                    </a:prstGeom>
                    <a:ln>
                      <a:noFill/>
                    </a:ln>
                    <a:extLst>
                      <a:ext uri="{53640926-AAD7-44D8-BBD7-CCE9431645EC}">
                        <a14:shadowObscured xmlns:a14="http://schemas.microsoft.com/office/drawing/2010/main"/>
                      </a:ext>
                    </a:extLst>
                  </pic:spPr>
                </pic:pic>
              </a:graphicData>
            </a:graphic>
          </wp:inline>
        </w:drawing>
      </w:r>
    </w:p>
    <w:p w:rsidR="00FE13F7" w:rsidRPr="00FE13F7" w:rsidRDefault="00313C0B" w:rsidP="00FE13F7">
      <w:pPr>
        <w:pStyle w:val="Heading2"/>
        <w:numPr>
          <w:ilvl w:val="1"/>
          <w:numId w:val="2"/>
        </w:numPr>
        <w:ind w:left="709" w:hanging="709"/>
      </w:pPr>
      <w:r w:rsidRPr="00313C0B">
        <w:t>Gri</w:t>
      </w:r>
      <w:r w:rsidR="00FE13F7">
        <w:t>d-based Hierarchical Clustering</w:t>
      </w:r>
    </w:p>
    <w:p w:rsidR="00FE13F7" w:rsidRPr="00313C0B" w:rsidRDefault="00FE13F7" w:rsidP="00313C0B">
      <w:pPr>
        <w:rPr>
          <w:rFonts w:cs="Arial"/>
          <w:b/>
          <w:bCs/>
          <w:sz w:val="24"/>
          <w:szCs w:val="24"/>
        </w:rPr>
      </w:pPr>
    </w:p>
    <w:p w:rsidR="00313C0B" w:rsidRPr="00313C0B" w:rsidRDefault="00313C0B" w:rsidP="00B22A59">
      <w:r w:rsidRPr="00313C0B">
        <w:t xml:space="preserve">The cognitive transfer map displays the actual transfer points transformed in two-dimensional Euclidean space. To identify interesting patterns from the scattered points, this study uses the grid-based hierarchical clustering method, which combines the grid-based clustering and hierarchical clustering methods. Cluster analysis is a data reduction tool that partitions a sample dataset into clusters, where objects within a specific cluster share many characteristics, but are very dissimilar to objects not belonging to that cluster </w:t>
      </w:r>
      <w:r w:rsidRPr="00313C0B">
        <w:fldChar w:fldCharType="begin">
          <w:fldData xml:space="preserve">PEVuZE5vdGU+PENpdGU+PEF1dGhvcj5Nb29pPC9BdXRob3I+PFllYXI+MjAxMTwvWWVhcj48UmVj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</w:fldData>
        </w:fldChar>
      </w:r>
      <w:r w:rsidR="00446388">
        <w:instrText xml:space="preserve"> ADDIN EN.CITE </w:instrText>
      </w:r>
      <w:r w:rsidR="00446388">
        <w:fldChar w:fldCharType="begin">
          <w:fldData xml:space="preserve">PEVuZE5vdGU+PENpdGU+PEF1dGhvcj5Nb29pPC9BdXRob3I+PFllYXI+MjAxMTwvWWVhcj48UmVj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</w:fldData>
        </w:fldChar>
      </w:r>
      <w:r w:rsidR="00446388">
        <w:instrText xml:space="preserve"> ADDIN EN.CITE.DATA </w:instrText>
      </w:r>
      <w:r w:rsidR="00446388">
        <w:fldChar w:fldCharType="end"/>
      </w:r>
      <w:r w:rsidRPr="00313C0B">
        <w:fldChar w:fldCharType="separate"/>
      </w:r>
      <w:r w:rsidR="00446388">
        <w:rPr>
          <w:noProof/>
        </w:rPr>
        <w:t>(</w:t>
      </w:r>
      <w:hyperlink w:anchor="_ENREF_27" w:tooltip="Sarstedt, 2011 #187" w:history="1">
        <w:r w:rsidR="00B77B2A">
          <w:rPr>
            <w:noProof/>
          </w:rPr>
          <w:t>Sarstedt and Mooi, 2011</w:t>
        </w:r>
      </w:hyperlink>
      <w:r w:rsidR="00446388">
        <w:rPr>
          <w:noProof/>
        </w:rPr>
        <w:t>)</w:t>
      </w:r>
      <w:r w:rsidRPr="00313C0B">
        <w:fldChar w:fldCharType="end"/>
      </w:r>
      <w:r w:rsidRPr="00313C0B">
        <w:t xml:space="preserve">. </w:t>
      </w:r>
    </w:p>
    <w:p w:rsidR="00313C0B" w:rsidRPr="00313C0B" w:rsidRDefault="00313C0B" w:rsidP="00B22A59"/>
    <w:p w:rsidR="008C5AB4" w:rsidRDefault="00313C0B" w:rsidP="0048264D">
      <w:r w:rsidRPr="00313C0B">
        <w:t xml:space="preserve">The grid-based clustering (also known as density-based clustering) is one of the most efficient approaches for mining large data sets. This method adopts algorithms that partition the data space into a finite number of cells to form a grid structure </w:t>
      </w:r>
      <w:r w:rsidRPr="00313C0B">
        <w:fldChar w:fldCharType="begin"/>
      </w:r>
      <w:r w:rsidR="00446388">
        <w:instrText xml:space="preserve"> ADDIN EN.CITE &lt;EndNote&gt;&lt;Cite&gt;&lt;Author&gt;Cheng&lt;/Author&gt;&lt;Year&gt;2013&lt;/Year&gt;&lt;RecNum&gt;188&lt;/RecNum&gt;&lt;DisplayText&gt;(Cheng et al., 2013)&lt;/DisplayText&gt;&lt;record&gt;&lt;rec-number&gt;188&lt;/rec-number&gt;&lt;foreign-keys&gt;&lt;key app="EN" db-id="wt5p2v0d1pes9fetednxdse65xefzpvzzxvf"&gt;188&lt;/key&gt;&lt;/foreign-keys&gt;&lt;ref-type name="Book Section"&gt;5&lt;/ref-type&gt;&lt;contributors&gt;&lt;authors&gt;&lt;author&gt;Cheng, Wei&lt;/author&gt;&lt;author&gt;Wang, Wei&lt;/author&gt;&lt;author&gt;Batista, Sandra&lt;/author&gt;&lt;/authors&gt;&lt;secondary-authors&gt;&lt;author&gt;Aggarwal, Charu C.&lt;/author&gt;&lt;author&gt;Reddy, Chandan K.&lt;/author&gt;&lt;/secondary-authors&gt;&lt;/contributors&gt;&lt;titles&gt;&lt;title&gt;Grid-based clustering&lt;/title&gt;&lt;secondary-title&gt;Data clustering: Algorithms and applications&lt;/secondary-title&gt;&lt;/titles&gt;&lt;pages&gt;127-148&lt;/pages&gt;&lt;volume&gt;31&lt;/volume&gt;&lt;number&gt;Book, Whole&lt;/number&gt;&lt;section&gt;6&lt;/section&gt;&lt;keywords&gt;&lt;keyword&gt;Document clustering&lt;/keyword&gt;&lt;keyword&gt;Cluster analysis&lt;/keyword&gt;&lt;keyword&gt;File organization (Computer science)&lt;/keyword&gt;&lt;keyword&gt;Machine theory&lt;/keyword&gt;&lt;keyword&gt;Data mining&lt;/keyword&gt;&lt;keyword&gt;Algorithms&lt;/keyword&gt;&lt;keyword&gt;Math &amp;amp; Science&lt;/keyword&gt;&lt;/keywords&gt;&lt;dates&gt;&lt;year&gt;2013&lt;/year&gt;&lt;/dates&gt;&lt;pub-location&gt;Hoboken&lt;/pub-location&gt;&lt;publisher&gt;CRC Press&lt;/publisher&gt;&lt;isbn&gt;9781466558212;1466558210;&lt;/isbn&gt;&lt;urls&gt;&lt;related-urls&gt;&lt;url&gt;http://qut.summon.serialssolutions.com/2.0.0/link/0/eLvHCXMwzV1Lb9NAEF5VcGmEVEipSBoki0MvqZG9drxeJA4obdVLL23g0Es02UeoSAyKnSL-fWfWjh8pB46colibXWtmMzs7M983jEX8Y-Dv2QQbxRZAaSGMiAG4XAgTg1QxR9NprOjG3-oGos2z_1zxex5x_bXU-AUUhHTcEvXBDsa8Wv7E2__3dcnE3M5W15kWo6sCXIqh47-9SeEvl7D57RoCuKz8toqo0rubfIdccHvnGih7cTW9nY6p5HS8dm0n3Jp10I5yQYoKRv-MyxnaAQdq_pD6JeSyrPvZm71zIUW7m0wIe9uxsJWd7_Jat0ZzeUZE52v9oIrPJvO_3uGZiq4qWakv9_d1zIzo85I0dvi8ap2atmu3bo_1IP-BBwQeHkVOxaMblZmCfILn0LIcLGweWg7F7DV7aQhl8oYdmKzPjqq7gFdZ2rzPejc1n25-zM5Jt16j209eo1kPpey1NfuWfbu6nE2v_arPhQ8RF1L6EPBFEGpHzmfwM1SRTWUiuAYt0cMSyoQiTXA_hDpFBx5vlXGyCFKFvxD4KDphr4AAEVnhgJP6HfM4EffrEEKBDn4KINMIjLLSJkkQ24kdsA8tOc0fV040-byjlgHzGvHNf5X8J_tDRm2h1oNCdGQlDwdsWAp5_pfph__yDqfssNmFI_ai2GzNewfLfQKP2lvT&lt;/url&gt;&lt;/related-urls&gt;&lt;/urls&gt;&lt;/record&gt;&lt;/Cite&gt;&lt;/EndNote&gt;</w:instrText>
      </w:r>
      <w:r w:rsidRPr="00313C0B">
        <w:fldChar w:fldCharType="separate"/>
      </w:r>
      <w:r w:rsidR="00446388">
        <w:rPr>
          <w:noProof/>
        </w:rPr>
        <w:t>(</w:t>
      </w:r>
      <w:hyperlink w:anchor="_ENREF_3" w:tooltip="Cheng, 2013 #188" w:history="1">
        <w:r w:rsidR="00B77B2A">
          <w:rPr>
            <w:noProof/>
          </w:rPr>
          <w:t>Cheng et al., 2013</w:t>
        </w:r>
      </w:hyperlink>
      <w:r w:rsidR="00446388">
        <w:rPr>
          <w:noProof/>
        </w:rPr>
        <w:t>)</w:t>
      </w:r>
      <w:r w:rsidRPr="00313C0B">
        <w:fldChar w:fldCharType="end"/>
      </w:r>
      <w:r w:rsidRPr="00313C0B">
        <w:t xml:space="preserve"> as shown in </w:t>
      </w:r>
      <w:r w:rsidR="004E6ED1">
        <w:fldChar w:fldCharType="begin"/>
      </w:r>
      <w:r w:rsidR="004E6ED1">
        <w:instrText xml:space="preserve"> REF _Ref452481793 \h </w:instrText>
      </w:r>
      <w:r w:rsidR="0048264D">
        <w:instrText xml:space="preserve"> \* MERGEFORMAT </w:instrText>
      </w:r>
      <w:r w:rsidR="004E6ED1">
        <w:fldChar w:fldCharType="separate"/>
      </w:r>
      <w:r w:rsidR="004E6ED1" w:rsidRPr="00313C0B">
        <w:t xml:space="preserve">Figure </w:t>
      </w:r>
      <w:r w:rsidR="004E6ED1">
        <w:rPr>
          <w:noProof/>
        </w:rPr>
        <w:t>4</w:t>
      </w:r>
      <w:r w:rsidR="004E6ED1">
        <w:fldChar w:fldCharType="end"/>
      </w:r>
      <w:r w:rsidR="004E6ED1">
        <w:t>.</w:t>
      </w:r>
      <w:bookmarkStart w:id="13" w:name="_Ref447797539"/>
    </w:p>
    <w:p w:rsidR="00905736" w:rsidRDefault="00905736" w:rsidP="0048264D"/>
    <w:p w:rsidR="00FE13F7" w:rsidRPr="00313C0B" w:rsidRDefault="00FE13F7" w:rsidP="00FE13F7">
      <w:pPr>
        <w:pStyle w:val="Captions"/>
      </w:pPr>
      <w:bookmarkStart w:id="14" w:name="_Ref452456283"/>
      <w:bookmarkStart w:id="15" w:name="_Ref452481793"/>
      <w:r w:rsidRPr="00313C0B">
        <w:t xml:space="preserve">Figure </w:t>
      </w:r>
      <w:fldSimple w:instr=" SEQ Figure \* ARABIC ">
        <w:r w:rsidR="00386530">
          <w:rPr>
            <w:noProof/>
          </w:rPr>
          <w:t>4</w:t>
        </w:r>
      </w:fldSimple>
      <w:bookmarkEnd w:id="13"/>
      <w:bookmarkEnd w:id="14"/>
      <w:bookmarkEnd w:id="15"/>
      <w:r w:rsidRPr="00313C0B">
        <w:t>: Grid structure on cognitive transfer locations map</w:t>
      </w:r>
    </w:p>
    <w:p w:rsidR="00313C0B" w:rsidRPr="00313C0B" w:rsidRDefault="00313C0B" w:rsidP="00313C0B">
      <w:pPr>
        <w:rPr>
          <w:rFonts w:cs="Arial"/>
          <w:sz w:val="24"/>
          <w:szCs w:val="24"/>
        </w:rPr>
      </w:pPr>
    </w:p>
    <w:p w:rsidR="00313C0B" w:rsidRPr="00313C0B" w:rsidRDefault="00313C0B" w:rsidP="00313C0B">
      <w:pPr>
        <w:rPr>
          <w:rFonts w:cs="Arial"/>
          <w:sz w:val="24"/>
          <w:szCs w:val="24"/>
        </w:rPr>
      </w:pPr>
      <w:r w:rsidRPr="00313C0B">
        <w:rPr>
          <w:rFonts w:cs="Arial"/>
          <w:noProof/>
          <w:sz w:val="24"/>
          <w:szCs w:val="24"/>
          <w:lang w:eastAsia="en-AU"/>
        </w:rPr>
        <w:drawing>
          <wp:inline distT="0" distB="0" distL="0" distR="0" wp14:anchorId="501877AE" wp14:editId="55B42E45">
            <wp:extent cx="5693312" cy="3638550"/>
            <wp:effectExtent l="0" t="0" r="3175" b="0"/>
            <wp:docPr id="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689864" cy="3636346"/>
                    </a:xfrm>
                    <a:prstGeom prst="rect">
                      <a:avLst/>
                    </a:prstGeom>
                  </pic:spPr>
                </pic:pic>
              </a:graphicData>
            </a:graphic>
          </wp:inline>
        </w:drawing>
      </w:r>
    </w:p>
    <w:p w:rsidR="00313C0B" w:rsidRPr="00313C0B" w:rsidRDefault="00313C0B" w:rsidP="00313C0B">
      <w:pPr>
        <w:rPr>
          <w:rFonts w:cs="Arial"/>
          <w:sz w:val="24"/>
          <w:szCs w:val="24"/>
        </w:rPr>
      </w:pPr>
    </w:p>
    <w:p w:rsidR="00313C0B" w:rsidRPr="004E6ED1" w:rsidRDefault="00313C0B" w:rsidP="004E6ED1">
      <w:pPr>
        <w:rPr>
          <w:rFonts w:cs="Arial"/>
          <w:b/>
          <w:sz w:val="20"/>
          <w:szCs w:val="20"/>
        </w:rPr>
      </w:pPr>
      <w:r w:rsidRPr="00313C0B">
        <w:t xml:space="preserve">This study uses the simplest form of grid-based clustering, by defining each grid with 0.2 OD unit distance increment. These transfer points are plotted in reference to 1.0 OD (origin to destination) unit distance. </w:t>
      </w:r>
      <w:r w:rsidR="007F122B">
        <w:fldChar w:fldCharType="begin"/>
      </w:r>
      <w:r w:rsidR="007F122B">
        <w:instrText xml:space="preserve"> REF _Ref452456283 \h </w:instrText>
      </w:r>
      <w:r w:rsidR="004E6ED1">
        <w:instrText xml:space="preserve"> \* MERGEFORMAT </w:instrText>
      </w:r>
      <w:r w:rsidR="007F122B">
        <w:fldChar w:fldCharType="separate"/>
      </w:r>
      <w:r w:rsidR="00386530" w:rsidRPr="00313C0B">
        <w:t xml:space="preserve">Figure </w:t>
      </w:r>
      <w:r w:rsidR="00386530">
        <w:rPr>
          <w:noProof/>
        </w:rPr>
        <w:t>4</w:t>
      </w:r>
      <w:r w:rsidR="007F122B">
        <w:fldChar w:fldCharType="end"/>
      </w:r>
      <w:r w:rsidRPr="00313C0B">
        <w:t xml:space="preserve"> shows the clear concentration of transfer points in the cells, along with the “shortcut” distance between the origin and destination. For cell clustering, the cell density is calculated for each cell as follows:</w:t>
      </w:r>
    </w:p>
    <w:p w:rsidR="00313C0B" w:rsidRPr="00313C0B" w:rsidRDefault="00313C0B" w:rsidP="00B22A59"/>
    <w:tbl>
      <w:tblPr>
        <w:tblStyle w:val="TableGrid"/>
        <w:tblW w:w="4869" w:type="pct"/>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51"/>
        <w:gridCol w:w="6898"/>
        <w:gridCol w:w="1251"/>
      </w:tblGrid>
      <w:tr w:rsidR="00313C0B" w:rsidRPr="00313C0B" w:rsidTr="00194CD2">
        <w:trPr>
          <w:trHeight w:val="661"/>
        </w:trPr>
        <w:tc>
          <w:tcPr>
            <w:tcW w:w="473" w:type="pct"/>
            <w:vAlign w:val="center"/>
          </w:tcPr>
          <w:p w:rsidR="00313C0B" w:rsidRPr="00313C0B" w:rsidRDefault="00313C0B" w:rsidP="00B22A59"/>
        </w:tc>
        <w:tc>
          <w:tcPr>
            <w:tcW w:w="3832" w:type="pct"/>
            <w:vAlign w:val="center"/>
          </w:tcPr>
          <w:p w:rsidR="00313C0B" w:rsidRPr="00313C0B" w:rsidRDefault="00313C0B" w:rsidP="00B22A59">
            <w:pPr>
              <w:rPr>
                <w:i/>
              </w:rPr>
            </w:pPr>
            <m:oMathPara>
              <m:oMath>
                <m:r>
                  <w:rPr>
                    <w:rFonts w:ascii="Cambria Math" w:hAnsi="Cambria Math"/>
                  </w:rPr>
                  <m:t>Cell density=</m:t>
                </m:r>
                <m:f>
                  <m:fPr>
                    <m:ctrlPr>
                      <w:rPr>
                        <w:rFonts w:ascii="Cambria Math" w:hAnsi="Cambria Math"/>
                        <w:i/>
                      </w:rPr>
                    </m:ctrlPr>
                  </m:fPr>
                  <m:num>
                    <m:r>
                      <w:rPr>
                        <w:rFonts w:ascii="Cambria Math" w:hAnsi="Cambria Math"/>
                      </w:rPr>
                      <m:t>Total number of transfer points in grid x</m:t>
                    </m:r>
                  </m:num>
                  <m:den>
                    <m:r>
                      <w:rPr>
                        <w:rFonts w:ascii="Cambria Math" w:hAnsi="Cambria Math"/>
                      </w:rPr>
                      <m:t>Total number of transfer points</m:t>
                    </m:r>
                  </m:den>
                </m:f>
              </m:oMath>
            </m:oMathPara>
          </w:p>
        </w:tc>
        <w:tc>
          <w:tcPr>
            <w:tcW w:w="696" w:type="pct"/>
            <w:vAlign w:val="center"/>
          </w:tcPr>
          <w:p w:rsidR="00313C0B" w:rsidRPr="00313C0B" w:rsidRDefault="00313C0B" w:rsidP="00B22A59">
            <w:pPr>
              <w:pStyle w:val="Captions"/>
            </w:pPr>
            <w:bookmarkStart w:id="16" w:name="_Ref444535819"/>
            <w:r w:rsidRPr="00313C0B">
              <w:t xml:space="preserve">Equation </w:t>
            </w:r>
            <w:fldSimple w:instr=" SEQ Equation \* ARABIC ">
              <w:r w:rsidR="00386530">
                <w:rPr>
                  <w:noProof/>
                </w:rPr>
                <w:t>4</w:t>
              </w:r>
            </w:fldSimple>
            <w:bookmarkEnd w:id="16"/>
          </w:p>
        </w:tc>
      </w:tr>
    </w:tbl>
    <w:p w:rsidR="00313C0B" w:rsidRPr="00313C0B" w:rsidRDefault="00313C0B" w:rsidP="00B22A59"/>
    <w:p w:rsidR="004E6ED1" w:rsidRDefault="00313C0B" w:rsidP="004E6ED1">
      <w:r w:rsidRPr="00313C0B">
        <w:t xml:space="preserve">The hierarchical clustering method is applied to sort the cells into clusters. Hierarchical clustering is useful for finding relatively homogenous clusters of cases based on measured characteristics. To illustrate, it starts off with each case as a separate cluster, then these clusters are combined sequentially until only one cluster is left. The algorithm for this clustering method uses the dissimilarities or distances between objects when forming the clusters </w:t>
      </w:r>
      <w:r w:rsidRPr="00313C0B">
        <w:fldChar w:fldCharType="begin">
          <w:fldData xml:space="preserve">PEVuZE5vdGU+PENpdGU+PEF1dGhvcj5TYXJzdGVkdDwvQXV0aG9yPjxZZWFyPjIwMTE8L1llYXI+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</w:fldData>
        </w:fldChar>
      </w:r>
      <w:r w:rsidR="00446388">
        <w:instrText xml:space="preserve"> ADDIN EN.CITE </w:instrText>
      </w:r>
      <w:r w:rsidR="00446388">
        <w:fldChar w:fldCharType="begin">
          <w:fldData xml:space="preserve">PEVuZE5vdGU+PENpdGU+PEF1dGhvcj5TYXJzdGVkdDwvQXV0aG9yPjxZZWFyPjIwMTE8L1llYXI+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</w:fldData>
        </w:fldChar>
      </w:r>
      <w:r w:rsidR="00446388">
        <w:instrText xml:space="preserve"> ADDIN EN.CITE.DATA </w:instrText>
      </w:r>
      <w:r w:rsidR="00446388">
        <w:fldChar w:fldCharType="end"/>
      </w:r>
      <w:r w:rsidRPr="00313C0B">
        <w:fldChar w:fldCharType="separate"/>
      </w:r>
      <w:r w:rsidR="00446388">
        <w:rPr>
          <w:noProof/>
        </w:rPr>
        <w:t>(</w:t>
      </w:r>
      <w:hyperlink w:anchor="_ENREF_27" w:tooltip="Sarstedt, 2011 #187" w:history="1">
        <w:r w:rsidR="00B77B2A">
          <w:rPr>
            <w:noProof/>
          </w:rPr>
          <w:t>Sarstedt and Mooi, 2011</w:t>
        </w:r>
      </w:hyperlink>
      <w:r w:rsidR="00446388">
        <w:rPr>
          <w:noProof/>
        </w:rPr>
        <w:t>)</w:t>
      </w:r>
      <w:r w:rsidRPr="00313C0B">
        <w:fldChar w:fldCharType="end"/>
      </w:r>
      <w:r w:rsidR="004E6ED1">
        <w:t>.</w:t>
      </w:r>
    </w:p>
    <w:p w:rsidR="004E6ED1" w:rsidRDefault="004E6ED1" w:rsidP="004E6ED1"/>
    <w:p w:rsidR="00260C03" w:rsidRDefault="004E6ED1" w:rsidP="004E6ED1">
      <w:r>
        <w:fldChar w:fldCharType="begin"/>
      </w:r>
      <w:r>
        <w:instrText xml:space="preserve"> REF _Ref452471108 \h </w:instrText>
      </w:r>
      <w:r>
        <w:fldChar w:fldCharType="separate"/>
      </w:r>
      <w:r w:rsidRPr="00313C0B">
        <w:t xml:space="preserve">Figure </w:t>
      </w:r>
      <w:r>
        <w:rPr>
          <w:noProof/>
        </w:rPr>
        <w:t>5</w:t>
      </w:r>
      <w:r>
        <w:fldChar w:fldCharType="end"/>
      </w:r>
      <w:r>
        <w:t xml:space="preserve"> </w:t>
      </w:r>
      <w:r w:rsidR="00313C0B" w:rsidRPr="00313C0B">
        <w:t xml:space="preserve">shows the cell-density for each cell, and which cluster each cell is assigned by the </w:t>
      </w:r>
      <w:bookmarkStart w:id="17" w:name="_Ref447797635"/>
      <w:r w:rsidR="001A4E7B">
        <w:t xml:space="preserve">hierarchical clustering method, as shown in </w:t>
      </w:r>
      <w:r w:rsidR="001A4E7B">
        <w:fldChar w:fldCharType="begin"/>
      </w:r>
      <w:r w:rsidR="001A4E7B">
        <w:instrText xml:space="preserve"> REF _Ref452455429 \h </w:instrText>
      </w:r>
      <w:r w:rsidR="001A4E7B">
        <w:fldChar w:fldCharType="separate"/>
      </w:r>
      <w:r w:rsidR="00386530" w:rsidRPr="00313C0B">
        <w:t xml:space="preserve">Figure </w:t>
      </w:r>
      <w:r w:rsidR="00386530">
        <w:rPr>
          <w:noProof/>
        </w:rPr>
        <w:t>6</w:t>
      </w:r>
      <w:r w:rsidR="001A4E7B">
        <w:fldChar w:fldCharType="end"/>
      </w:r>
      <w:r w:rsidR="001A4E7B">
        <w:t>.</w:t>
      </w:r>
    </w:p>
    <w:p w:rsidR="00905736" w:rsidRDefault="00905736" w:rsidP="004E6ED1"/>
    <w:p w:rsidR="00260C03" w:rsidRPr="00313C0B" w:rsidRDefault="00260C03" w:rsidP="00260C03">
      <w:pPr>
        <w:pStyle w:val="Captions"/>
      </w:pPr>
      <w:bookmarkStart w:id="18" w:name="_Ref452456332"/>
      <w:bookmarkStart w:id="19" w:name="_Ref452471108"/>
      <w:r w:rsidRPr="00313C0B">
        <w:t xml:space="preserve">Figure </w:t>
      </w:r>
      <w:fldSimple w:instr=" SEQ Figure \* ARABIC ">
        <w:r w:rsidR="00386530">
          <w:rPr>
            <w:noProof/>
          </w:rPr>
          <w:t>5</w:t>
        </w:r>
      </w:fldSimple>
      <w:bookmarkEnd w:id="17"/>
      <w:bookmarkEnd w:id="18"/>
      <w:bookmarkEnd w:id="19"/>
      <w:r w:rsidRPr="00313C0B">
        <w:t>: Cell-density in respective clusters</w:t>
      </w:r>
    </w:p>
    <w:p w:rsidR="00313C0B" w:rsidRPr="00313C0B" w:rsidRDefault="00313C0B" w:rsidP="00313C0B">
      <w:pPr>
        <w:rPr>
          <w:rFonts w:cs="Arial"/>
          <w:sz w:val="24"/>
          <w:szCs w:val="24"/>
        </w:rPr>
      </w:pPr>
    </w:p>
    <w:p w:rsidR="00313C0B" w:rsidRPr="00313C0B" w:rsidRDefault="00313C0B" w:rsidP="00313C0B">
      <w:pPr>
        <w:rPr>
          <w:rFonts w:cs="Arial"/>
          <w:sz w:val="24"/>
          <w:szCs w:val="24"/>
        </w:rPr>
      </w:pPr>
      <w:r w:rsidRPr="00313C0B">
        <w:rPr>
          <w:rFonts w:cs="Arial"/>
          <w:noProof/>
          <w:sz w:val="24"/>
          <w:szCs w:val="24"/>
          <w:lang w:eastAsia="en-AU"/>
        </w:rPr>
        <w:drawing>
          <wp:inline distT="0" distB="0" distL="0" distR="0" wp14:anchorId="7C5FE1A8" wp14:editId="0560ED03">
            <wp:extent cx="5715000" cy="3948546"/>
            <wp:effectExtent l="0" t="0" r="0" b="0"/>
            <wp:docPr id="2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26420" cy="3956436"/>
                    </a:xfrm>
                    <a:prstGeom prst="rect">
                      <a:avLst/>
                    </a:prstGeom>
                  </pic:spPr>
                </pic:pic>
              </a:graphicData>
            </a:graphic>
          </wp:inline>
        </w:drawing>
      </w:r>
    </w:p>
    <w:p w:rsidR="00B22A59" w:rsidRDefault="00B22A59" w:rsidP="00260C03">
      <w:pPr>
        <w:pStyle w:val="Captions"/>
      </w:pPr>
      <w:bookmarkStart w:id="20" w:name="_Ref447797801"/>
      <w:bookmarkStart w:id="21" w:name="_Ref452454945"/>
      <w:bookmarkStart w:id="22" w:name="_Ref444540876"/>
    </w:p>
    <w:p w:rsidR="00905736" w:rsidRDefault="00905736">
      <w:pPr>
        <w:spacing w:after="200" w:line="276" w:lineRule="auto"/>
        <w:jc w:val="left"/>
        <w:rPr>
          <w:rFonts w:cs="Arial"/>
          <w:b/>
          <w:sz w:val="20"/>
          <w:szCs w:val="20"/>
        </w:rPr>
      </w:pPr>
      <w:bookmarkStart w:id="23" w:name="_Ref452455429"/>
      <w:r>
        <w:br w:type="page"/>
      </w:r>
    </w:p>
    <w:p w:rsidR="00260C03" w:rsidRPr="00313C0B" w:rsidRDefault="00260C03" w:rsidP="00260C03">
      <w:pPr>
        <w:pStyle w:val="Captions"/>
      </w:pPr>
      <w:r w:rsidRPr="00313C0B">
        <w:t xml:space="preserve">Figure </w:t>
      </w:r>
      <w:fldSimple w:instr=" SEQ Figure \* ARABIC ">
        <w:r w:rsidR="00386530">
          <w:rPr>
            <w:noProof/>
          </w:rPr>
          <w:t>6</w:t>
        </w:r>
      </w:fldSimple>
      <w:bookmarkEnd w:id="20"/>
      <w:bookmarkEnd w:id="21"/>
      <w:bookmarkEnd w:id="23"/>
      <w:r w:rsidRPr="00313C0B">
        <w:t>: Cell density dendrogram</w:t>
      </w:r>
    </w:p>
    <w:bookmarkEnd w:id="22"/>
    <w:p w:rsidR="00313C0B" w:rsidRPr="00313C0B" w:rsidRDefault="00313C0B" w:rsidP="00313C0B">
      <w:pPr>
        <w:rPr>
          <w:rFonts w:cs="Arial"/>
          <w:sz w:val="24"/>
          <w:szCs w:val="24"/>
        </w:rPr>
      </w:pPr>
    </w:p>
    <w:p w:rsidR="00313C0B" w:rsidRPr="00313C0B" w:rsidRDefault="00313C0B" w:rsidP="00313C0B">
      <w:pPr>
        <w:rPr>
          <w:rFonts w:cs="Arial"/>
          <w:b/>
          <w:bCs/>
          <w:sz w:val="24"/>
          <w:szCs w:val="24"/>
        </w:rPr>
      </w:pPr>
      <w:bookmarkStart w:id="24" w:name="_Ref444541014"/>
      <w:r w:rsidRPr="00313C0B">
        <w:rPr>
          <w:rFonts w:cs="Arial"/>
          <w:b/>
          <w:bCs/>
          <w:noProof/>
          <w:sz w:val="24"/>
          <w:szCs w:val="24"/>
          <w:lang w:eastAsia="en-AU"/>
        </w:rPr>
        <w:drawing>
          <wp:inline distT="0" distB="0" distL="0" distR="0" wp14:anchorId="72712CAE" wp14:editId="7ACC0FEF">
            <wp:extent cx="5715000" cy="3584864"/>
            <wp:effectExtent l="0" t="0" r="0" b="0"/>
            <wp:docPr id="25" name="그림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1"/>
                    <a:stretch/>
                  </pic:blipFill>
                  <pic:spPr bwMode="auto">
                    <a:xfrm>
                      <a:off x="0" y="0"/>
                      <a:ext cx="5726545" cy="3592106"/>
                    </a:xfrm>
                    <a:prstGeom prst="rect">
                      <a:avLst/>
                    </a:prstGeom>
                    <a:noFill/>
                    <a:ln>
                      <a:noFill/>
                    </a:ln>
                    <a:extLst>
                      <a:ext uri="{53640926-AAD7-44D8-BBD7-CCE9431645EC}">
                        <a14:shadowObscured xmlns:a14="http://schemas.microsoft.com/office/drawing/2010/main"/>
                      </a:ext>
                    </a:extLst>
                  </pic:spPr>
                </pic:pic>
              </a:graphicData>
            </a:graphic>
          </wp:inline>
        </w:drawing>
      </w:r>
    </w:p>
    <w:bookmarkEnd w:id="24"/>
    <w:p w:rsidR="00886A49" w:rsidRDefault="00886A49" w:rsidP="00B22A59"/>
    <w:p w:rsidR="00886A49" w:rsidRDefault="00886A49" w:rsidP="00886A49">
      <w:pPr>
        <w:pStyle w:val="Heading1"/>
        <w:numPr>
          <w:ilvl w:val="0"/>
          <w:numId w:val="2"/>
        </w:numPr>
      </w:pPr>
      <w:r>
        <w:t>Discussion</w:t>
      </w:r>
    </w:p>
    <w:p w:rsidR="00886A49" w:rsidRDefault="00886A49" w:rsidP="00B22A59"/>
    <w:p w:rsidR="00886A49" w:rsidRDefault="00886A49" w:rsidP="00B22A59">
      <w:r>
        <w:t>I</w:t>
      </w:r>
      <w:r w:rsidR="00313C0B" w:rsidRPr="00313C0B">
        <w:t xml:space="preserve">nteresting results are observed in the travellers’ transfer point selection. The majority of bus </w:t>
      </w:r>
      <w:r w:rsidR="005E6D2A">
        <w:t>journey</w:t>
      </w:r>
      <w:r w:rsidR="00313C0B" w:rsidRPr="00313C0B">
        <w:t xml:space="preserve">s conducted have made a transfer located in </w:t>
      </w:r>
      <w:r>
        <w:t xml:space="preserve">the cells F1 and J1, as shown in </w:t>
      </w:r>
      <w:r>
        <w:fldChar w:fldCharType="begin"/>
      </w:r>
      <w:r>
        <w:instrText xml:space="preserve"> REF _Ref452471108 \h </w:instrText>
      </w:r>
      <w:r>
        <w:fldChar w:fldCharType="separate"/>
      </w:r>
      <w:r w:rsidR="00386530" w:rsidRPr="00313C0B">
        <w:t xml:space="preserve">Figure </w:t>
      </w:r>
      <w:r w:rsidR="00386530">
        <w:rPr>
          <w:noProof/>
        </w:rPr>
        <w:t>5</w:t>
      </w:r>
      <w:r>
        <w:fldChar w:fldCharType="end"/>
      </w:r>
      <w:r>
        <w:t xml:space="preserve">. </w:t>
      </w:r>
      <w:r w:rsidR="00313C0B" w:rsidRPr="00313C0B">
        <w:t>These two cells are identified to have the highest transfer point density at 13.78% and 15.47%, respectively. These two cells may be regarded as the most preferred cognitive transfer locations and the presence of a viable transfer service in those cells will increase the likelihood of making a transfer and eventually taking public t</w:t>
      </w:r>
      <w:r>
        <w:t xml:space="preserve">ransit compared to other cells. </w:t>
      </w:r>
    </w:p>
    <w:p w:rsidR="00886A49" w:rsidRDefault="00886A49" w:rsidP="00B22A59"/>
    <w:p w:rsidR="00313C0B" w:rsidRPr="00313C0B" w:rsidRDefault="00886A49" w:rsidP="00B22A59">
      <w:r>
        <w:t>These</w:t>
      </w:r>
      <w:r w:rsidR="00313C0B" w:rsidRPr="00313C0B">
        <w:t xml:space="preserve"> two cells (F1 and J1) are categorised as Cluster A by the hierarchical clustering. All the other cells are categorised into five different clusters by the cell’s grid density (</w:t>
      </w:r>
      <w:r w:rsidR="007F122B">
        <w:fldChar w:fldCharType="begin"/>
      </w:r>
      <w:r w:rsidR="007F122B">
        <w:instrText xml:space="preserve"> REF _Ref452455429 \h </w:instrText>
      </w:r>
      <w:r w:rsidR="007F122B">
        <w:fldChar w:fldCharType="separate"/>
      </w:r>
      <w:r w:rsidR="00386530" w:rsidRPr="00313C0B">
        <w:t xml:space="preserve">Figure </w:t>
      </w:r>
      <w:r w:rsidR="00386530">
        <w:rPr>
          <w:noProof/>
        </w:rPr>
        <w:t>6</w:t>
      </w:r>
      <w:r w:rsidR="007F122B">
        <w:fldChar w:fldCharType="end"/>
      </w:r>
      <w:r w:rsidR="00313C0B" w:rsidRPr="00313C0B">
        <w:t xml:space="preserve">). The hierarchical clustering uses the Ward’s method to measure the dissimilarity among clusters. Ward’s method uses an analysis of variance approach, instead of distance metrics to evaluate the distances between clusters, where cluster membership is assessed by calculating the total sum of squared deviations from the mean of a cluster </w:t>
      </w:r>
      <w:r w:rsidR="00313C0B" w:rsidRPr="00313C0B">
        <w:fldChar w:fldCharType="begin"/>
      </w:r>
      <w:r w:rsidR="00446388">
        <w:instrText xml:space="preserve"> ADDIN EN.CITE &lt;EndNote&gt;&lt;Cite&gt;&lt;Author&gt;Ward&lt;/Author&gt;&lt;Year&gt;1963&lt;/Year&gt;&lt;RecNum&gt;224&lt;/RecNum&gt;&lt;DisplayText&gt;(Ward, 1963)&lt;/DisplayText&gt;&lt;record&gt;&lt;rec-number&gt;224&lt;/rec-number&gt;&lt;foreign-keys&gt;&lt;key app="EN" db-id="wt5p2v0d1pes9fetednxdse65xefzpvzzxvf"&gt;224&lt;/key&gt;&lt;/foreign-keys&gt;&lt;ref-type name="Journal Article"&gt;17&lt;/ref-type&gt;&lt;contributors&gt;&lt;authors&gt;&lt;author&gt;Ward, Joe H.&lt;/author&gt;&lt;/authors&gt;&lt;/contributors&gt;&lt;titles&gt;&lt;title&gt;Hierarchical grouping to optimize an objective function&lt;/title&gt;&lt;secondary-title&gt;Journal of the American Statistical Association&lt;/secondary-title&gt;&lt;/titles&gt;&lt;periodical&gt;&lt;full-title&gt;Journal of the American Statistical Association&lt;/full-title&gt;&lt;/periodical&gt;&lt;pages&gt;236-244&lt;/pages&gt;&lt;volume&gt;58&lt;/volume&gt;&lt;number&gt;301&lt;/number&gt;&lt;dates&gt;&lt;year&gt;1963&lt;/year&gt;&lt;/dates&gt;&lt;publisher&gt;[American Statistical Association, Taylor &amp;amp; Francis, Ltd.]&lt;/publisher&gt;&lt;isbn&gt;01621459&lt;/isbn&gt;&lt;urls&gt;&lt;related-urls&gt;&lt;url&gt;http://www.jstor.org.ezp01.library.qut.edu.au/stable/2282967&lt;/url&gt;&lt;/related-urls&gt;&lt;/urls&gt;&lt;custom1&gt;Full publication date: Mar., 1963&lt;/custom1&gt;&lt;electronic-resource-num&gt;10.2307/2282967&lt;/electronic-resource-num&gt;&lt;/record&gt;&lt;/Cite&gt;&lt;/EndNote&gt;</w:instrText>
      </w:r>
      <w:r w:rsidR="00313C0B" w:rsidRPr="00313C0B">
        <w:fldChar w:fldCharType="separate"/>
      </w:r>
      <w:r w:rsidR="00446388">
        <w:rPr>
          <w:noProof/>
        </w:rPr>
        <w:t>(</w:t>
      </w:r>
      <w:hyperlink w:anchor="_ENREF_32" w:tooltip="Ward, 1963 #224" w:history="1">
        <w:r w:rsidR="00B77B2A">
          <w:rPr>
            <w:noProof/>
          </w:rPr>
          <w:t>Ward, 1963</w:t>
        </w:r>
      </w:hyperlink>
      <w:r w:rsidR="00446388">
        <w:rPr>
          <w:noProof/>
        </w:rPr>
        <w:t>)</w:t>
      </w:r>
      <w:r w:rsidR="00313C0B" w:rsidRPr="00313C0B">
        <w:fldChar w:fldCharType="end"/>
      </w:r>
      <w:r w:rsidR="00313C0B" w:rsidRPr="00313C0B">
        <w:t>. The dendrogram allows the tracing backward and forward to any cluster at any level. It gives an idea of how great the distance is between clusters in a particular step, using the 0 to 25 scale along the top of the chart.</w:t>
      </w:r>
    </w:p>
    <w:p w:rsidR="00313C0B" w:rsidRPr="00313C0B" w:rsidRDefault="00313C0B" w:rsidP="00B22A59"/>
    <w:p w:rsidR="00DC2FC9" w:rsidRDefault="00DC2FC9" w:rsidP="00DC2FC9">
      <w:r w:rsidRPr="00DC2FC9">
        <w:t xml:space="preserve">The mapping of the cognitive transfer locations is based on one day </w:t>
      </w:r>
      <w:r w:rsidR="005E6D2A">
        <w:t>bus journey</w:t>
      </w:r>
      <w:r w:rsidRPr="00DC2FC9">
        <w:t xml:space="preserve"> data. To minimise the probability of generating a bias index, the average of all </w:t>
      </w:r>
      <w:r>
        <w:t xml:space="preserve">indices within the same cluster is calculated, as displayed in </w:t>
      </w:r>
      <w:r>
        <w:fldChar w:fldCharType="begin"/>
      </w:r>
      <w:r>
        <w:instrText xml:space="preserve"> REF _Ref452471337 \h </w:instrText>
      </w:r>
      <w:r>
        <w:fldChar w:fldCharType="separate"/>
      </w:r>
      <w:r w:rsidR="00386530">
        <w:t xml:space="preserve">Figure </w:t>
      </w:r>
      <w:r w:rsidR="00386530">
        <w:rPr>
          <w:noProof/>
        </w:rPr>
        <w:t>7</w:t>
      </w:r>
      <w:r>
        <w:fldChar w:fldCharType="end"/>
      </w:r>
      <w:r>
        <w:t>.</w:t>
      </w:r>
    </w:p>
    <w:p w:rsidR="00886A49" w:rsidRDefault="00886A49" w:rsidP="00B22A59"/>
    <w:p w:rsidR="00905736" w:rsidRDefault="00905736">
      <w:pPr>
        <w:spacing w:after="200" w:line="276" w:lineRule="auto"/>
        <w:jc w:val="left"/>
        <w:rPr>
          <w:rFonts w:cs="Arial"/>
          <w:b/>
          <w:sz w:val="20"/>
          <w:szCs w:val="20"/>
        </w:rPr>
      </w:pPr>
      <w:bookmarkStart w:id="25" w:name="_Ref452471337"/>
      <w:r>
        <w:br w:type="page"/>
      </w:r>
    </w:p>
    <w:p w:rsidR="00DC2FC9" w:rsidRDefault="00DC2FC9" w:rsidP="00DC2FC9">
      <w:pPr>
        <w:pStyle w:val="Captions"/>
      </w:pPr>
      <w:r>
        <w:t xml:space="preserve">Figure </w:t>
      </w:r>
      <w:fldSimple w:instr=" SEQ Figure \* ARABIC ">
        <w:r w:rsidR="00386530">
          <w:rPr>
            <w:noProof/>
          </w:rPr>
          <w:t>7</w:t>
        </w:r>
      </w:fldSimple>
      <w:bookmarkEnd w:id="25"/>
      <w:r>
        <w:t xml:space="preserve">: </w:t>
      </w:r>
      <w:r w:rsidRPr="001223E2">
        <w:t>Average cell-density in respective clusters</w:t>
      </w:r>
    </w:p>
    <w:p w:rsidR="00DC2FC9" w:rsidRDefault="00DC2FC9" w:rsidP="00DC2FC9">
      <w:pPr>
        <w:pStyle w:val="Captions"/>
      </w:pPr>
    </w:p>
    <w:p w:rsidR="00DC2FC9" w:rsidRDefault="00FE18F7" w:rsidP="00DC2FC9">
      <w:pPr>
        <w:keepNext/>
      </w:pPr>
      <w:r>
        <w:rPr>
          <w:noProof/>
          <w:lang w:eastAsia="en-AU"/>
        </w:rPr>
        <w:drawing>
          <wp:inline distT="0" distB="0" distL="0" distR="0" wp14:anchorId="018C4647" wp14:editId="7D70CE68">
            <wp:extent cx="5731510" cy="3972867"/>
            <wp:effectExtent l="0" t="0" r="254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31510" cy="3972867"/>
                    </a:xfrm>
                    <a:prstGeom prst="rect">
                      <a:avLst/>
                    </a:prstGeom>
                  </pic:spPr>
                </pic:pic>
              </a:graphicData>
            </a:graphic>
          </wp:inline>
        </w:drawing>
      </w:r>
    </w:p>
    <w:p w:rsidR="00886A49" w:rsidRDefault="00886A49" w:rsidP="00B22A59"/>
    <w:p w:rsidR="00FE18F7" w:rsidRDefault="00313C0B" w:rsidP="00B22A59">
      <w:r w:rsidRPr="00313C0B">
        <w:t>Cluster B includes G1, H1 and I1. Transfer points in those five cells of Cluster A and Cluster B accounts for 54.1</w:t>
      </w:r>
      <w:r w:rsidR="00FE18F7">
        <w:t>3</w:t>
      </w:r>
      <w:r w:rsidRPr="00313C0B">
        <w:t>% out of the total 150 cells in the map. It implies that most travellers would prefer the transfer point be locat</w:t>
      </w:r>
      <w:r w:rsidR="005E6D2A">
        <w:t>ed along the direction to their</w:t>
      </w:r>
      <w:r w:rsidRPr="00313C0B">
        <w:t xml:space="preserve"> destination</w:t>
      </w:r>
      <w:r w:rsidR="005E6D2A">
        <w:t>s</w:t>
      </w:r>
      <w:r w:rsidRPr="00313C0B">
        <w:t xml:space="preserve">. Cluster C includes </w:t>
      </w:r>
      <w:r w:rsidR="00FE18F7">
        <w:t>seven</w:t>
      </w:r>
      <w:r w:rsidRPr="00313C0B">
        <w:t xml:space="preserve"> cells, E1, F2 to J2, and K1. The cell density significantly declines to 3.67% in average. </w:t>
      </w:r>
      <w:r w:rsidR="00FE18F7">
        <w:t>It is interesting to find out that s</w:t>
      </w:r>
      <w:r w:rsidRPr="00313C0B">
        <w:t>ome bus users travelled to transfer points in the opposite direction from their destination</w:t>
      </w:r>
      <w:r w:rsidR="00FE18F7">
        <w:t xml:space="preserve"> (cell E1)</w:t>
      </w:r>
      <w:r w:rsidRPr="00313C0B">
        <w:t xml:space="preserve">, </w:t>
      </w:r>
      <w:r w:rsidR="00FE18F7">
        <w:t>or even further than destination (cell K1) to conduct transit transfers, with the conditions that it is within 0.2 OD</w:t>
      </w:r>
      <w:r w:rsidR="00EE41A4">
        <w:t xml:space="preserve"> unit</w:t>
      </w:r>
      <w:r w:rsidR="00FE18F7">
        <w:t xml:space="preserve"> distance.</w:t>
      </w:r>
    </w:p>
    <w:p w:rsidR="00FE18F7" w:rsidRDefault="00FE18F7" w:rsidP="00B22A59"/>
    <w:p w:rsidR="00313C0B" w:rsidRPr="00313C0B" w:rsidRDefault="00313C0B" w:rsidP="00B22A59">
      <w:r w:rsidRPr="00313C0B">
        <w:t xml:space="preserve">The cell density further decreases for cells of Cluster D with the average density value at 1.37%. The transfer points located in the Cluster A to D groups account for 89.35% of the total transfers. The average density value of the cells in Cluster E and Cluster F is negligible at 0.27% </w:t>
      </w:r>
      <w:r w:rsidR="001A4E7B">
        <w:t xml:space="preserve">and </w:t>
      </w:r>
      <w:r w:rsidRPr="00313C0B">
        <w:t>0.02%, respectively although they account for more than 87% of the total map area (131 out of 150 cells).</w:t>
      </w:r>
    </w:p>
    <w:p w:rsidR="00905736" w:rsidRDefault="00905736" w:rsidP="00B22A59"/>
    <w:p w:rsidR="00667321" w:rsidRDefault="00667321" w:rsidP="00B22A59">
      <w:pPr>
        <w:rPr>
          <w:rFonts w:cs="Arial"/>
        </w:rPr>
      </w:pPr>
      <w:r w:rsidRPr="00DD7CC4">
        <w:rPr>
          <w:rFonts w:cs="Arial"/>
        </w:rPr>
        <w:t>The attractiveness of public transit will decrease when one has to make a transfer that involves a significant deviation from th</w:t>
      </w:r>
      <w:r>
        <w:rPr>
          <w:rFonts w:cs="Arial"/>
        </w:rPr>
        <w:t xml:space="preserve">e direction to the destination. </w:t>
      </w:r>
      <w:r w:rsidRPr="00DD7CC4">
        <w:rPr>
          <w:rFonts w:cs="Arial"/>
        </w:rPr>
        <w:t>The impact of transfer location will be more significant in a radial transit system, where transit users travelling from an outer suburb to another require a transfer in the</w:t>
      </w:r>
      <w:r>
        <w:rPr>
          <w:rFonts w:cs="Arial"/>
        </w:rPr>
        <w:t xml:space="preserve"> downtown or major transit hubs</w:t>
      </w:r>
      <w:r w:rsidRPr="00DD7CC4">
        <w:rPr>
          <w:rFonts w:cs="Arial"/>
        </w:rPr>
        <w:t xml:space="preserve"> to access connecting transit lines or alternative modes.</w:t>
      </w:r>
      <w:r>
        <w:rPr>
          <w:rFonts w:cs="Arial"/>
        </w:rPr>
        <w:t xml:space="preserve"> </w:t>
      </w:r>
      <w:r w:rsidR="0080094C">
        <w:rPr>
          <w:rFonts w:cs="Arial"/>
        </w:rPr>
        <w:t>For</w:t>
      </w:r>
      <w:r>
        <w:rPr>
          <w:rFonts w:cs="Arial"/>
        </w:rPr>
        <w:t xml:space="preserve"> illustration purposes, Greenslopes is chosen as the origin Statistical Area Level 2 (SA2). </w:t>
      </w:r>
      <w:r w:rsidR="00AC7A43">
        <w:rPr>
          <w:rFonts w:cs="Arial"/>
        </w:rPr>
        <w:t>Instead of using centroids to represent each SA2, the locations of the major bus stops are used. Ma</w:t>
      </w:r>
      <w:r w:rsidR="0080094C">
        <w:rPr>
          <w:rFonts w:cs="Arial"/>
        </w:rPr>
        <w:t xml:space="preserve">jor bus stop is defined as stop </w:t>
      </w:r>
      <w:r w:rsidR="00AC7A43">
        <w:rPr>
          <w:rFonts w:cs="Arial"/>
        </w:rPr>
        <w:t xml:space="preserve">with the most transit routes that pass through in that SA2. </w:t>
      </w:r>
      <w:r w:rsidR="00AC7A43">
        <w:t>This will give a better representation as compared to using centroid of each zone, based on the assumption that transit riders would often assess major stops with more frequent and consistent service, likewise to destinations.</w:t>
      </w:r>
      <w:r w:rsidR="00AC7A43">
        <w:rPr>
          <w:rFonts w:cs="Arial"/>
        </w:rPr>
        <w:t xml:space="preserve"> </w:t>
      </w:r>
      <w:r>
        <w:rPr>
          <w:rFonts w:cs="Arial"/>
        </w:rPr>
        <w:t xml:space="preserve">The fastest transit path to the neighbouring suburbs is shown in </w:t>
      </w:r>
      <w:r>
        <w:rPr>
          <w:rFonts w:cs="Arial"/>
        </w:rPr>
        <w:fldChar w:fldCharType="begin"/>
      </w:r>
      <w:r>
        <w:rPr>
          <w:rFonts w:cs="Arial"/>
        </w:rPr>
        <w:instrText xml:space="preserve"> REF _Ref462739318 \h </w:instrText>
      </w:r>
      <w:r>
        <w:rPr>
          <w:rFonts w:cs="Arial"/>
        </w:rPr>
      </w:r>
      <w:r>
        <w:rPr>
          <w:rFonts w:cs="Arial"/>
        </w:rPr>
        <w:fldChar w:fldCharType="separate"/>
      </w:r>
      <w:r>
        <w:t xml:space="preserve">Figure </w:t>
      </w:r>
      <w:r>
        <w:rPr>
          <w:noProof/>
        </w:rPr>
        <w:t>8</w:t>
      </w:r>
      <w:r>
        <w:rPr>
          <w:rFonts w:cs="Arial"/>
        </w:rPr>
        <w:fldChar w:fldCharType="end"/>
      </w:r>
      <w:r>
        <w:rPr>
          <w:rFonts w:cs="Arial"/>
        </w:rPr>
        <w:t>.</w:t>
      </w:r>
    </w:p>
    <w:p w:rsidR="00667321" w:rsidRDefault="00667321">
      <w:pPr>
        <w:spacing w:after="200" w:line="276" w:lineRule="auto"/>
        <w:jc w:val="left"/>
        <w:rPr>
          <w:rFonts w:cs="Arial"/>
        </w:rPr>
      </w:pPr>
    </w:p>
    <w:p w:rsidR="00667321" w:rsidRDefault="00667321" w:rsidP="00667321">
      <w:pPr>
        <w:pStyle w:val="Captions"/>
      </w:pPr>
      <w:bookmarkStart w:id="26" w:name="_Ref462739318"/>
      <w:r>
        <w:t xml:space="preserve">Figure </w:t>
      </w:r>
      <w:fldSimple w:instr=" SEQ Figure \* ARABIC ">
        <w:r>
          <w:rPr>
            <w:noProof/>
          </w:rPr>
          <w:t>8</w:t>
        </w:r>
      </w:fldSimple>
      <w:bookmarkEnd w:id="26"/>
      <w:r>
        <w:t xml:space="preserve">: The fastest transit path to </w:t>
      </w:r>
      <w:r w:rsidR="00AE7B6F">
        <w:t>the neighbouring suburbs of Greenslopes</w:t>
      </w:r>
    </w:p>
    <w:p w:rsidR="00667321" w:rsidRDefault="00667321" w:rsidP="00B22A59">
      <w:pPr>
        <w:rPr>
          <w:rFonts w:cs="Arial"/>
        </w:rPr>
      </w:pPr>
    </w:p>
    <w:tbl>
      <w:tblPr>
        <w:tblStyle w:val="TableGrid"/>
        <w:tblW w:w="0" w:type="auto"/>
        <w:tblInd w:w="108" w:type="dxa"/>
        <w:tblBorders>
          <w:top w:val="single" w:sz="12" w:space="0" w:color="auto"/>
          <w:left w:val="single" w:sz="12" w:space="0" w:color="auto"/>
          <w:bottom w:val="single" w:sz="12" w:space="0" w:color="auto"/>
          <w:right w:val="single" w:sz="12" w:space="0" w:color="auto"/>
          <w:insideH w:val="none" w:sz="0" w:space="0" w:color="auto"/>
          <w:insideV w:val="none" w:sz="0" w:space="0" w:color="auto"/>
        </w:tblBorders>
        <w:tblLook w:val="04A0" w:firstRow="1" w:lastRow="0" w:firstColumn="1" w:lastColumn="0" w:noHBand="0" w:noVBand="1"/>
      </w:tblPr>
      <w:tblGrid>
        <w:gridCol w:w="4513"/>
        <w:gridCol w:w="4487"/>
      </w:tblGrid>
      <w:tr w:rsidR="00667321" w:rsidRPr="00AE7B6F" w:rsidTr="00AE7B6F">
        <w:tc>
          <w:tcPr>
            <w:tcW w:w="4513" w:type="dxa"/>
            <w:hideMark/>
          </w:tcPr>
          <w:p w:rsidR="00AE7B6F" w:rsidRDefault="00AE7B6F">
            <w:pPr>
              <w:rPr>
                <w:rFonts w:cs="Arial"/>
                <w:sz w:val="20"/>
                <w:szCs w:val="20"/>
              </w:rPr>
            </w:pPr>
          </w:p>
          <w:p w:rsidR="00667321" w:rsidRPr="00AE7B6F" w:rsidRDefault="00667321">
            <w:pPr>
              <w:rPr>
                <w:rFonts w:cs="Arial"/>
                <w:sz w:val="20"/>
                <w:szCs w:val="20"/>
                <w:lang w:eastAsia="ko-KR"/>
              </w:rPr>
            </w:pPr>
            <w:r w:rsidRPr="00AE7B6F">
              <w:rPr>
                <w:rFonts w:cs="Arial"/>
                <w:sz w:val="20"/>
                <w:szCs w:val="20"/>
              </w:rPr>
              <w:t>Greenslopes (31055) to Coorparoo (31053)</w:t>
            </w:r>
          </w:p>
        </w:tc>
        <w:tc>
          <w:tcPr>
            <w:tcW w:w="4487" w:type="dxa"/>
            <w:hideMark/>
          </w:tcPr>
          <w:p w:rsidR="00AE7B6F" w:rsidRDefault="00AE7B6F">
            <w:pPr>
              <w:rPr>
                <w:rFonts w:cs="Arial"/>
                <w:sz w:val="20"/>
                <w:szCs w:val="20"/>
              </w:rPr>
            </w:pPr>
          </w:p>
          <w:p w:rsidR="00667321" w:rsidRPr="00AE7B6F" w:rsidRDefault="00667321">
            <w:pPr>
              <w:rPr>
                <w:rFonts w:cs="Arial"/>
                <w:sz w:val="20"/>
                <w:szCs w:val="20"/>
                <w:lang w:eastAsia="ko-KR"/>
              </w:rPr>
            </w:pPr>
            <w:r w:rsidRPr="00AE7B6F">
              <w:rPr>
                <w:rFonts w:cs="Arial"/>
                <w:sz w:val="20"/>
                <w:szCs w:val="20"/>
              </w:rPr>
              <w:t>Greenslopes (31055) to East Brisbane (31115)</w:t>
            </w:r>
          </w:p>
        </w:tc>
      </w:tr>
      <w:tr w:rsidR="00667321" w:rsidRPr="00AE7B6F" w:rsidTr="00AE7B6F">
        <w:tc>
          <w:tcPr>
            <w:tcW w:w="4513" w:type="dxa"/>
          </w:tcPr>
          <w:p w:rsidR="00667321" w:rsidRPr="00AE7B6F" w:rsidRDefault="00667321">
            <w:pPr>
              <w:rPr>
                <w:rFonts w:cs="Arial"/>
                <w:sz w:val="20"/>
                <w:szCs w:val="20"/>
              </w:rPr>
            </w:pPr>
          </w:p>
          <w:p w:rsidR="00667321" w:rsidRPr="00AE7B6F" w:rsidRDefault="00667321">
            <w:pPr>
              <w:rPr>
                <w:rFonts w:cs="Arial"/>
                <w:sz w:val="20"/>
                <w:szCs w:val="20"/>
              </w:rPr>
            </w:pPr>
            <w:r w:rsidRPr="00AE7B6F">
              <w:rPr>
                <w:rFonts w:cs="Arial"/>
                <w:noProof/>
                <w:sz w:val="20"/>
                <w:szCs w:val="20"/>
                <w:lang w:eastAsia="en-AU"/>
              </w:rPr>
              <w:drawing>
                <wp:inline distT="0" distB="0" distL="0" distR="0" wp14:anchorId="275C1E40" wp14:editId="14013DEB">
                  <wp:extent cx="2691765" cy="216535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l="15326" t="10419" r="20181" b="22739"/>
                          <a:stretch>
                            <a:fillRect/>
                          </a:stretch>
                        </pic:blipFill>
                        <pic:spPr bwMode="auto">
                          <a:xfrm>
                            <a:off x="0" y="0"/>
                            <a:ext cx="2691765" cy="2165350"/>
                          </a:xfrm>
                          <a:prstGeom prst="rect">
                            <a:avLst/>
                          </a:prstGeom>
                          <a:noFill/>
                          <a:ln>
                            <a:noFill/>
                          </a:ln>
                        </pic:spPr>
                      </pic:pic>
                    </a:graphicData>
                  </a:graphic>
                </wp:inline>
              </w:drawing>
            </w:r>
          </w:p>
          <w:p w:rsidR="00667321" w:rsidRPr="00AE7B6F" w:rsidRDefault="00667321">
            <w:pPr>
              <w:rPr>
                <w:rFonts w:cs="Arial"/>
                <w:sz w:val="20"/>
                <w:szCs w:val="20"/>
                <w:lang w:eastAsia="ko-KR"/>
              </w:rPr>
            </w:pPr>
          </w:p>
        </w:tc>
        <w:tc>
          <w:tcPr>
            <w:tcW w:w="4487" w:type="dxa"/>
          </w:tcPr>
          <w:p w:rsidR="00667321" w:rsidRPr="00AE7B6F" w:rsidRDefault="00667321">
            <w:pPr>
              <w:rPr>
                <w:rFonts w:cs="Arial"/>
                <w:sz w:val="20"/>
                <w:szCs w:val="20"/>
              </w:rPr>
            </w:pPr>
          </w:p>
          <w:p w:rsidR="00667321" w:rsidRPr="00AE7B6F" w:rsidRDefault="00667321">
            <w:pPr>
              <w:rPr>
                <w:rFonts w:cs="Arial"/>
                <w:sz w:val="20"/>
                <w:szCs w:val="20"/>
              </w:rPr>
            </w:pPr>
            <w:r w:rsidRPr="00AE7B6F">
              <w:rPr>
                <w:rFonts w:cs="Arial"/>
                <w:noProof/>
                <w:sz w:val="20"/>
                <w:szCs w:val="20"/>
                <w:lang w:eastAsia="en-AU"/>
              </w:rPr>
              <w:drawing>
                <wp:inline distT="0" distB="0" distL="0" distR="0" wp14:anchorId="0EB10A7C" wp14:editId="38EBEDAC">
                  <wp:extent cx="2706370" cy="216535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7">
                            <a:extLst>
                              <a:ext uri="{28A0092B-C50C-407E-A947-70E740481C1C}">
                                <a14:useLocalDpi xmlns:a14="http://schemas.microsoft.com/office/drawing/2010/main" val="0"/>
                              </a:ext>
                            </a:extLst>
                          </a:blip>
                          <a:srcRect l="32590" t="15263" r="12514" b="23955"/>
                          <a:stretch>
                            <a:fillRect/>
                          </a:stretch>
                        </pic:blipFill>
                        <pic:spPr bwMode="auto">
                          <a:xfrm>
                            <a:off x="0" y="0"/>
                            <a:ext cx="2706370" cy="2165350"/>
                          </a:xfrm>
                          <a:prstGeom prst="rect">
                            <a:avLst/>
                          </a:prstGeom>
                          <a:noFill/>
                          <a:ln>
                            <a:noFill/>
                          </a:ln>
                        </pic:spPr>
                      </pic:pic>
                    </a:graphicData>
                  </a:graphic>
                </wp:inline>
              </w:drawing>
            </w:r>
          </w:p>
          <w:p w:rsidR="00667321" w:rsidRPr="00AE7B6F" w:rsidRDefault="00667321">
            <w:pPr>
              <w:rPr>
                <w:rFonts w:cs="Arial"/>
                <w:sz w:val="20"/>
                <w:szCs w:val="20"/>
                <w:lang w:eastAsia="ko-KR"/>
              </w:rPr>
            </w:pPr>
          </w:p>
        </w:tc>
      </w:tr>
      <w:tr w:rsidR="00667321" w:rsidRPr="00AE7B6F" w:rsidTr="00AE7B6F">
        <w:tc>
          <w:tcPr>
            <w:tcW w:w="4513" w:type="dxa"/>
            <w:hideMark/>
          </w:tcPr>
          <w:p w:rsidR="00667321" w:rsidRPr="00AE7B6F" w:rsidRDefault="00667321">
            <w:pPr>
              <w:rPr>
                <w:rFonts w:cs="Arial"/>
                <w:sz w:val="20"/>
                <w:szCs w:val="20"/>
                <w:lang w:eastAsia="ko-KR"/>
              </w:rPr>
            </w:pPr>
            <w:r w:rsidRPr="00AE7B6F">
              <w:rPr>
                <w:rFonts w:cs="Arial"/>
                <w:sz w:val="20"/>
                <w:szCs w:val="20"/>
              </w:rPr>
              <w:t>Greenslopes (31055) to Fairfield – Dutton Park (31054)</w:t>
            </w:r>
          </w:p>
        </w:tc>
        <w:tc>
          <w:tcPr>
            <w:tcW w:w="4487" w:type="dxa"/>
            <w:hideMark/>
          </w:tcPr>
          <w:p w:rsidR="00667321" w:rsidRPr="00AE7B6F" w:rsidRDefault="00667321">
            <w:pPr>
              <w:rPr>
                <w:rFonts w:cs="Arial"/>
                <w:sz w:val="20"/>
                <w:szCs w:val="20"/>
                <w:lang w:eastAsia="ko-KR"/>
              </w:rPr>
            </w:pPr>
            <w:r w:rsidRPr="00AE7B6F">
              <w:rPr>
                <w:rFonts w:cs="Arial"/>
                <w:sz w:val="20"/>
                <w:szCs w:val="20"/>
              </w:rPr>
              <w:t>Greenslopes (31055) to Salisbury – Nathan (31070)</w:t>
            </w:r>
          </w:p>
        </w:tc>
      </w:tr>
      <w:tr w:rsidR="00667321" w:rsidRPr="00AE7B6F" w:rsidTr="00AE7B6F">
        <w:tc>
          <w:tcPr>
            <w:tcW w:w="4513" w:type="dxa"/>
          </w:tcPr>
          <w:p w:rsidR="00667321" w:rsidRPr="00AE7B6F" w:rsidRDefault="00667321">
            <w:pPr>
              <w:rPr>
                <w:rFonts w:cs="Arial"/>
                <w:sz w:val="20"/>
                <w:szCs w:val="20"/>
              </w:rPr>
            </w:pPr>
          </w:p>
          <w:p w:rsidR="00667321" w:rsidRPr="00AE7B6F" w:rsidRDefault="00667321">
            <w:pPr>
              <w:rPr>
                <w:rFonts w:cs="Arial"/>
                <w:sz w:val="20"/>
                <w:szCs w:val="20"/>
              </w:rPr>
            </w:pPr>
            <w:r w:rsidRPr="00AE7B6F">
              <w:rPr>
                <w:rFonts w:cs="Arial"/>
                <w:noProof/>
                <w:sz w:val="20"/>
                <w:szCs w:val="20"/>
                <w:lang w:eastAsia="en-AU"/>
              </w:rPr>
              <w:drawing>
                <wp:inline distT="0" distB="0" distL="0" distR="0" wp14:anchorId="4E09A2EB" wp14:editId="62BBFD7E">
                  <wp:extent cx="2691765" cy="21653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l="26518" t="17708" r="18352" b="20219"/>
                          <a:stretch>
                            <a:fillRect/>
                          </a:stretch>
                        </pic:blipFill>
                        <pic:spPr bwMode="auto">
                          <a:xfrm>
                            <a:off x="0" y="0"/>
                            <a:ext cx="2691765" cy="2165350"/>
                          </a:xfrm>
                          <a:prstGeom prst="rect">
                            <a:avLst/>
                          </a:prstGeom>
                          <a:noFill/>
                          <a:ln>
                            <a:noFill/>
                          </a:ln>
                        </pic:spPr>
                      </pic:pic>
                    </a:graphicData>
                  </a:graphic>
                </wp:inline>
              </w:drawing>
            </w:r>
          </w:p>
          <w:p w:rsidR="00667321" w:rsidRPr="00AE7B6F" w:rsidRDefault="00667321">
            <w:pPr>
              <w:rPr>
                <w:rFonts w:cs="Arial"/>
                <w:sz w:val="20"/>
                <w:szCs w:val="20"/>
                <w:lang w:eastAsia="ko-KR"/>
              </w:rPr>
            </w:pPr>
          </w:p>
        </w:tc>
        <w:tc>
          <w:tcPr>
            <w:tcW w:w="4487" w:type="dxa"/>
          </w:tcPr>
          <w:p w:rsidR="00667321" w:rsidRPr="00AE7B6F" w:rsidRDefault="00667321">
            <w:pPr>
              <w:rPr>
                <w:rFonts w:cs="Arial"/>
                <w:sz w:val="20"/>
                <w:szCs w:val="20"/>
              </w:rPr>
            </w:pPr>
          </w:p>
          <w:p w:rsidR="00667321" w:rsidRPr="00AE7B6F" w:rsidRDefault="00667321">
            <w:pPr>
              <w:rPr>
                <w:rFonts w:cs="Arial"/>
                <w:sz w:val="20"/>
                <w:szCs w:val="20"/>
                <w:lang w:eastAsia="ko-KR"/>
              </w:rPr>
            </w:pPr>
            <w:r w:rsidRPr="00AE7B6F">
              <w:rPr>
                <w:rFonts w:cs="Arial"/>
                <w:noProof/>
                <w:sz w:val="20"/>
                <w:szCs w:val="20"/>
                <w:lang w:eastAsia="en-AU"/>
              </w:rPr>
              <w:drawing>
                <wp:inline distT="0" distB="0" distL="0" distR="0" wp14:anchorId="60F8A8BB" wp14:editId="3E6E0598">
                  <wp:extent cx="2677160" cy="2165350"/>
                  <wp:effectExtent l="0" t="0" r="889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9">
                            <a:extLst>
                              <a:ext uri="{28A0092B-C50C-407E-A947-70E740481C1C}">
                                <a14:useLocalDpi xmlns:a14="http://schemas.microsoft.com/office/drawing/2010/main" val="0"/>
                              </a:ext>
                            </a:extLst>
                          </a:blip>
                          <a:srcRect l="19621" t="3477" r="8385" b="17020"/>
                          <a:stretch>
                            <a:fillRect/>
                          </a:stretch>
                        </pic:blipFill>
                        <pic:spPr bwMode="auto">
                          <a:xfrm>
                            <a:off x="0" y="0"/>
                            <a:ext cx="2677160" cy="2165350"/>
                          </a:xfrm>
                          <a:prstGeom prst="rect">
                            <a:avLst/>
                          </a:prstGeom>
                          <a:noFill/>
                          <a:ln>
                            <a:noFill/>
                          </a:ln>
                        </pic:spPr>
                      </pic:pic>
                    </a:graphicData>
                  </a:graphic>
                </wp:inline>
              </w:drawing>
            </w:r>
          </w:p>
        </w:tc>
      </w:tr>
      <w:tr w:rsidR="00667321" w:rsidRPr="00AE7B6F" w:rsidTr="00AE7B6F">
        <w:tc>
          <w:tcPr>
            <w:tcW w:w="4513" w:type="dxa"/>
            <w:hideMark/>
          </w:tcPr>
          <w:p w:rsidR="00667321" w:rsidRPr="00AE7B6F" w:rsidRDefault="00667321">
            <w:pPr>
              <w:rPr>
                <w:rFonts w:cs="Arial"/>
                <w:sz w:val="20"/>
                <w:szCs w:val="20"/>
                <w:lang w:eastAsia="ko-KR"/>
              </w:rPr>
            </w:pPr>
            <w:r w:rsidRPr="00AE7B6F">
              <w:rPr>
                <w:rFonts w:cs="Arial"/>
                <w:sz w:val="20"/>
                <w:szCs w:val="20"/>
              </w:rPr>
              <w:t>Greenslopes (31055) to Red Hill (31136)</w:t>
            </w:r>
          </w:p>
        </w:tc>
        <w:tc>
          <w:tcPr>
            <w:tcW w:w="4487" w:type="dxa"/>
            <w:hideMark/>
          </w:tcPr>
          <w:p w:rsidR="00667321" w:rsidRPr="00AE7B6F" w:rsidRDefault="00667321">
            <w:pPr>
              <w:rPr>
                <w:rFonts w:cs="Arial"/>
                <w:sz w:val="20"/>
                <w:szCs w:val="20"/>
                <w:lang w:eastAsia="ko-KR"/>
              </w:rPr>
            </w:pPr>
            <w:r w:rsidRPr="00AE7B6F">
              <w:rPr>
                <w:rFonts w:cs="Arial"/>
                <w:sz w:val="20"/>
                <w:szCs w:val="20"/>
              </w:rPr>
              <w:t>Greenslopes (31055) to Macgregor (31061)</w:t>
            </w:r>
          </w:p>
        </w:tc>
      </w:tr>
      <w:tr w:rsidR="00667321" w:rsidRPr="00AE7B6F" w:rsidTr="00AE7B6F">
        <w:tc>
          <w:tcPr>
            <w:tcW w:w="4513" w:type="dxa"/>
          </w:tcPr>
          <w:p w:rsidR="00667321" w:rsidRPr="00AE7B6F" w:rsidRDefault="00667321">
            <w:pPr>
              <w:rPr>
                <w:rFonts w:cs="Arial"/>
                <w:sz w:val="20"/>
                <w:szCs w:val="20"/>
              </w:rPr>
            </w:pPr>
          </w:p>
          <w:p w:rsidR="00667321" w:rsidRPr="00AE7B6F" w:rsidRDefault="00667321">
            <w:pPr>
              <w:rPr>
                <w:rFonts w:cs="Arial"/>
                <w:sz w:val="20"/>
                <w:szCs w:val="20"/>
              </w:rPr>
            </w:pPr>
            <w:r w:rsidRPr="00AE7B6F">
              <w:rPr>
                <w:rFonts w:cs="Arial"/>
                <w:noProof/>
                <w:sz w:val="20"/>
                <w:szCs w:val="20"/>
                <w:lang w:eastAsia="en-AU"/>
              </w:rPr>
              <w:drawing>
                <wp:inline distT="0" distB="0" distL="0" distR="0" wp14:anchorId="641CAD7D" wp14:editId="3B38913E">
                  <wp:extent cx="2691765" cy="2150745"/>
                  <wp:effectExtent l="0" t="0" r="0"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l="23245" t="7205" r="18282" b="22800"/>
                          <a:stretch>
                            <a:fillRect/>
                          </a:stretch>
                        </pic:blipFill>
                        <pic:spPr bwMode="auto">
                          <a:xfrm>
                            <a:off x="0" y="0"/>
                            <a:ext cx="2691765" cy="2150745"/>
                          </a:xfrm>
                          <a:prstGeom prst="rect">
                            <a:avLst/>
                          </a:prstGeom>
                          <a:noFill/>
                          <a:ln>
                            <a:noFill/>
                          </a:ln>
                        </pic:spPr>
                      </pic:pic>
                    </a:graphicData>
                  </a:graphic>
                </wp:inline>
              </w:drawing>
            </w:r>
          </w:p>
          <w:p w:rsidR="00667321" w:rsidRPr="00AE7B6F" w:rsidRDefault="00667321">
            <w:pPr>
              <w:rPr>
                <w:rFonts w:cs="Arial"/>
                <w:sz w:val="20"/>
                <w:szCs w:val="20"/>
                <w:lang w:eastAsia="ko-KR"/>
              </w:rPr>
            </w:pPr>
          </w:p>
        </w:tc>
        <w:tc>
          <w:tcPr>
            <w:tcW w:w="4487" w:type="dxa"/>
          </w:tcPr>
          <w:p w:rsidR="00667321" w:rsidRPr="00AE7B6F" w:rsidRDefault="00667321">
            <w:pPr>
              <w:rPr>
                <w:rFonts w:cs="Arial"/>
                <w:sz w:val="20"/>
                <w:szCs w:val="20"/>
              </w:rPr>
            </w:pPr>
          </w:p>
          <w:p w:rsidR="00667321" w:rsidRPr="00AE7B6F" w:rsidRDefault="00667321">
            <w:pPr>
              <w:rPr>
                <w:rFonts w:cs="Arial"/>
                <w:sz w:val="20"/>
                <w:szCs w:val="20"/>
                <w:lang w:eastAsia="ko-KR"/>
              </w:rPr>
            </w:pPr>
            <w:r w:rsidRPr="00AE7B6F">
              <w:rPr>
                <w:rFonts w:cs="Arial"/>
                <w:noProof/>
                <w:sz w:val="20"/>
                <w:szCs w:val="20"/>
                <w:lang w:eastAsia="en-AU"/>
              </w:rPr>
              <w:drawing>
                <wp:inline distT="0" distB="0" distL="0" distR="0" wp14:anchorId="0428C288" wp14:editId="2ABB8811">
                  <wp:extent cx="2691765" cy="21653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l="27940" t="13734" r="12375" b="20502"/>
                          <a:stretch>
                            <a:fillRect/>
                          </a:stretch>
                        </pic:blipFill>
                        <pic:spPr bwMode="auto">
                          <a:xfrm>
                            <a:off x="0" y="0"/>
                            <a:ext cx="2691765" cy="2165350"/>
                          </a:xfrm>
                          <a:prstGeom prst="rect">
                            <a:avLst/>
                          </a:prstGeom>
                          <a:noFill/>
                          <a:ln>
                            <a:noFill/>
                          </a:ln>
                        </pic:spPr>
                      </pic:pic>
                    </a:graphicData>
                  </a:graphic>
                </wp:inline>
              </w:drawing>
            </w:r>
          </w:p>
        </w:tc>
      </w:tr>
    </w:tbl>
    <w:p w:rsidR="00667321" w:rsidRDefault="00667321" w:rsidP="00B22A59"/>
    <w:p w:rsidR="00667321" w:rsidRDefault="00667321" w:rsidP="00B22A59"/>
    <w:p w:rsidR="009B6369" w:rsidRPr="0080094C" w:rsidRDefault="009B6369" w:rsidP="00B22A59">
      <w:pPr>
        <w:rPr>
          <w:rFonts w:cs="Arial"/>
        </w:rPr>
      </w:pPr>
      <w:r>
        <w:t xml:space="preserve">In reference to </w:t>
      </w:r>
      <w:r>
        <w:fldChar w:fldCharType="begin"/>
      </w:r>
      <w:r>
        <w:instrText xml:space="preserve"> REF _Ref462739318 \h </w:instrText>
      </w:r>
      <w:r>
        <w:fldChar w:fldCharType="separate"/>
      </w:r>
      <w:r>
        <w:t xml:space="preserve">Figure </w:t>
      </w:r>
      <w:r>
        <w:rPr>
          <w:noProof/>
        </w:rPr>
        <w:t>8</w:t>
      </w:r>
      <w:r>
        <w:fldChar w:fldCharType="end"/>
      </w:r>
      <w:r>
        <w:t xml:space="preserve">, though Greenslopes and Coorparoo are neighbouring SA2s, there is no direct transit service connecting these SA2s. </w:t>
      </w:r>
      <w:r w:rsidR="0080094C">
        <w:t>Due to the strong radial nature of bus system in Brisbane, i</w:t>
      </w:r>
      <w:r>
        <w:t xml:space="preserve">f one were to use transit, a transfer </w:t>
      </w:r>
      <w:r w:rsidR="009C4552">
        <w:t xml:space="preserve">is needed </w:t>
      </w:r>
      <w:r>
        <w:t>at the nearby major transit hubs</w:t>
      </w:r>
      <w:r w:rsidR="0080094C">
        <w:t xml:space="preserve">. The transfer location has deviated far from the </w:t>
      </w:r>
      <w:r w:rsidR="0080094C">
        <w:rPr>
          <w:rFonts w:cs="Arial"/>
        </w:rPr>
        <w:t xml:space="preserve">direction to Coorparoo. </w:t>
      </w:r>
      <w:r w:rsidR="009C4552">
        <w:t>T</w:t>
      </w:r>
      <w:r>
        <w:t xml:space="preserve">ransit users travelling from Greenslopes to East Brisbane, and Fairfield – Dutton Park </w:t>
      </w:r>
      <w:r w:rsidR="009C4552">
        <w:t xml:space="preserve">are </w:t>
      </w:r>
      <w:r>
        <w:t>require</w:t>
      </w:r>
      <w:r w:rsidR="009C4552">
        <w:t>d</w:t>
      </w:r>
      <w:r>
        <w:t xml:space="preserve"> to </w:t>
      </w:r>
      <w:r w:rsidR="009C4552">
        <w:t>make transfer</w:t>
      </w:r>
      <w:r w:rsidR="0080094C">
        <w:t>s</w:t>
      </w:r>
      <w:r w:rsidR="009C4552">
        <w:t xml:space="preserve"> </w:t>
      </w:r>
      <w:r w:rsidR="0080094C">
        <w:t>that are</w:t>
      </w:r>
      <w:r w:rsidR="009C4552">
        <w:t xml:space="preserve"> beyond the destination points. Greenslopes to Salisbury Nathan requires a transfer</w:t>
      </w:r>
      <w:r w:rsidR="00AC7A43">
        <w:t xml:space="preserve">. </w:t>
      </w:r>
      <w:r w:rsidR="0080094C">
        <w:t xml:space="preserve">Unlike the previous three transfer locations, the transfer location to Salisbury Nathan has smaller deviation </w:t>
      </w:r>
      <w:r w:rsidR="0080094C" w:rsidRPr="00DD7CC4">
        <w:rPr>
          <w:rFonts w:cs="Arial"/>
        </w:rPr>
        <w:t>from th</w:t>
      </w:r>
      <w:r w:rsidR="0080094C">
        <w:rPr>
          <w:rFonts w:cs="Arial"/>
        </w:rPr>
        <w:t>e direction to destination.</w:t>
      </w:r>
      <w:r w:rsidR="0080094C">
        <w:t xml:space="preserve"> </w:t>
      </w:r>
      <w:r w:rsidR="00AC7A43">
        <w:rPr>
          <w:rFonts w:cs="Arial"/>
        </w:rPr>
        <w:t>Travelling from Greenslopes to Red Hill and Macgregor using transit requires transfer</w:t>
      </w:r>
      <w:r w:rsidR="0080094C">
        <w:rPr>
          <w:rFonts w:cs="Arial"/>
        </w:rPr>
        <w:t xml:space="preserve">s which are less burdensome, as they are </w:t>
      </w:r>
      <w:r w:rsidR="00AC7A43">
        <w:rPr>
          <w:rFonts w:cs="Arial"/>
        </w:rPr>
        <w:t xml:space="preserve">enroute to destinations. </w:t>
      </w:r>
      <w:r w:rsidR="00AC7A43">
        <w:rPr>
          <w:rFonts w:cs="Arial"/>
        </w:rPr>
        <w:fldChar w:fldCharType="begin"/>
      </w:r>
      <w:r w:rsidR="00AC7A43">
        <w:rPr>
          <w:rFonts w:cs="Arial"/>
        </w:rPr>
        <w:instrText xml:space="preserve"> REF _Ref462752420 \h </w:instrText>
      </w:r>
      <w:r w:rsidR="00AC7A43">
        <w:rPr>
          <w:rFonts w:cs="Arial"/>
        </w:rPr>
      </w:r>
      <w:r w:rsidR="00AC7A43">
        <w:rPr>
          <w:rFonts w:cs="Arial"/>
        </w:rPr>
        <w:fldChar w:fldCharType="separate"/>
      </w:r>
      <w:r w:rsidR="00AC7A43">
        <w:t xml:space="preserve">Figure </w:t>
      </w:r>
      <w:r w:rsidR="00AC7A43">
        <w:rPr>
          <w:noProof/>
        </w:rPr>
        <w:t>9</w:t>
      </w:r>
      <w:r w:rsidR="00AC7A43">
        <w:rPr>
          <w:rFonts w:cs="Arial"/>
        </w:rPr>
        <w:fldChar w:fldCharType="end"/>
      </w:r>
      <w:r w:rsidR="00AC7A43">
        <w:rPr>
          <w:rFonts w:cs="Arial"/>
        </w:rPr>
        <w:t xml:space="preserve"> shows the transfer points on the standardised cognitive transfer locations map, with reference to the preference</w:t>
      </w:r>
      <w:r w:rsidR="0080094C">
        <w:rPr>
          <w:rFonts w:cs="Arial"/>
        </w:rPr>
        <w:t xml:space="preserve"> of transfer locations for</w:t>
      </w:r>
      <w:r w:rsidR="00AC7A43">
        <w:rPr>
          <w:rFonts w:cs="Arial"/>
        </w:rPr>
        <w:t xml:space="preserve"> each cell. Darker coloured cells represent the more preferred transfer locations, and vice versa.</w:t>
      </w:r>
    </w:p>
    <w:p w:rsidR="009B6369" w:rsidRDefault="009B6369" w:rsidP="00B22A59"/>
    <w:p w:rsidR="00B531DF" w:rsidRDefault="00B531DF" w:rsidP="00B531DF">
      <w:pPr>
        <w:pStyle w:val="Captions"/>
      </w:pPr>
      <w:bookmarkStart w:id="27" w:name="_Ref462752420"/>
      <w:r>
        <w:t xml:space="preserve">Figure </w:t>
      </w:r>
      <w:fldSimple w:instr=" SEQ Figure \* ARABIC ">
        <w:r>
          <w:rPr>
            <w:noProof/>
          </w:rPr>
          <w:t>9</w:t>
        </w:r>
      </w:fldSimple>
      <w:bookmarkEnd w:id="27"/>
      <w:r>
        <w:t xml:space="preserve">: Transfer points on the standardised </w:t>
      </w:r>
      <w:r w:rsidRPr="00313C0B">
        <w:t>cognitive transfer locations map</w:t>
      </w:r>
    </w:p>
    <w:p w:rsidR="00B531DF" w:rsidRDefault="00B531DF" w:rsidP="00B531DF">
      <w:pPr>
        <w:pStyle w:val="Captions"/>
      </w:pPr>
    </w:p>
    <w:p w:rsidR="00B531DF" w:rsidRDefault="00B531DF" w:rsidP="00B22A59">
      <w:r>
        <w:rPr>
          <w:noProof/>
          <w:lang w:eastAsia="en-AU"/>
        </w:rPr>
        <w:drawing>
          <wp:inline distT="0" distB="0" distL="0" distR="0" wp14:anchorId="63EC11E6" wp14:editId="23E41799">
            <wp:extent cx="5731510" cy="3946537"/>
            <wp:effectExtent l="0" t="0" r="254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31510" cy="3946537"/>
                    </a:xfrm>
                    <a:prstGeom prst="rect">
                      <a:avLst/>
                    </a:prstGeom>
                  </pic:spPr>
                </pic:pic>
              </a:graphicData>
            </a:graphic>
          </wp:inline>
        </w:drawing>
      </w:r>
    </w:p>
    <w:p w:rsidR="00667321" w:rsidRPr="00313C0B" w:rsidRDefault="00667321" w:rsidP="00B22A59"/>
    <w:bookmarkEnd w:id="2"/>
    <w:p w:rsidR="00260C03" w:rsidRDefault="00260C03" w:rsidP="00260C03">
      <w:pPr>
        <w:pStyle w:val="Heading1"/>
        <w:numPr>
          <w:ilvl w:val="0"/>
          <w:numId w:val="2"/>
        </w:numPr>
      </w:pPr>
      <w:r w:rsidRPr="00260C03">
        <w:t>Conclusion</w:t>
      </w:r>
    </w:p>
    <w:p w:rsidR="00260C03" w:rsidRDefault="00260C03" w:rsidP="00260C03">
      <w:pPr>
        <w:rPr>
          <w:lang w:eastAsia="ko-KR"/>
        </w:rPr>
      </w:pPr>
    </w:p>
    <w:p w:rsidR="007B54A4" w:rsidRPr="00CF5DC8" w:rsidRDefault="007B54A4" w:rsidP="00260C03">
      <w:pPr>
        <w:rPr>
          <w:lang w:eastAsia="ko-KR"/>
        </w:rPr>
      </w:pPr>
      <w:r>
        <w:t>D</w:t>
      </w:r>
      <w:r w:rsidRPr="00F30F5D">
        <w:t>ecentralis</w:t>
      </w:r>
      <w:r>
        <w:t>ing of</w:t>
      </w:r>
      <w:r w:rsidRPr="00F30F5D">
        <w:t xml:space="preserve"> urban settlement and growth onto less dense outer </w:t>
      </w:r>
      <w:r>
        <w:t xml:space="preserve">residential areas has created a challenge for public transit agencies to provide direct connections for all origin and destination pairs. The need to transfer has deemed to be necessary to provide private vehicle-competitive citywide access. However, the inconvenience of transfer could deter the use of public transit. Past studies have investigated factors that could affect the inconvenience of transfer, and conventionally as a generalised cost by converting extra time taken, cost and qualities of travel into comparable costs. In choosing a travel mode, travellers will make decision based on perceived total generalised cost. Different weights are applied to different valuation of time (transfer walking and transfer waiting time), and often </w:t>
      </w:r>
      <w:r w:rsidRPr="00CF5DC8">
        <w:t xml:space="preserve">taken as the ratio </w:t>
      </w:r>
      <w:r w:rsidR="00460868" w:rsidRPr="00CF5DC8">
        <w:t xml:space="preserve">in </w:t>
      </w:r>
      <w:r w:rsidRPr="00CF5DC8">
        <w:t xml:space="preserve">relative to in-vehicle travel time. Transfer has too been included in mode choice analysis, and often is incorporated as the total transit travel time or the number of transfer needed to complete a </w:t>
      </w:r>
      <w:r w:rsidR="005E6D2A">
        <w:t>journey</w:t>
      </w:r>
      <w:r w:rsidRPr="00CF5DC8">
        <w:t>.</w:t>
      </w:r>
    </w:p>
    <w:p w:rsidR="007B54A4" w:rsidRPr="00CF5DC8" w:rsidRDefault="007B54A4" w:rsidP="00260C03">
      <w:pPr>
        <w:rPr>
          <w:lang w:eastAsia="ko-KR"/>
        </w:rPr>
      </w:pPr>
    </w:p>
    <w:p w:rsidR="00CF5DC8" w:rsidRDefault="00260C03" w:rsidP="00B22A59">
      <w:r w:rsidRPr="00CF5DC8">
        <w:t>This research proposes a new approach to take i</w:t>
      </w:r>
      <w:r w:rsidR="00CF5DC8" w:rsidRPr="00CF5DC8">
        <w:t xml:space="preserve">nto account the transfer impact from the perspective of travel direction to transfer points. </w:t>
      </w:r>
      <w:r w:rsidRPr="00CF5DC8">
        <w:t>By mapping the transfer locations on the standardised two-dimensional Euclidean space using the smart card data, the “preferred” cognitive transfer locations are observed. Generally, transit riders are reluctant to make a transfer if transfer locations are located far from the Euclidean straight line distance between origins and destinations and some preferred transfer lo</w:t>
      </w:r>
      <w:r w:rsidR="00CF5DC8">
        <w:t>cations are clearly identified.</w:t>
      </w:r>
    </w:p>
    <w:p w:rsidR="00260C03" w:rsidRPr="001A4E7B" w:rsidRDefault="00260C03" w:rsidP="00B22A59">
      <w:pPr>
        <w:rPr>
          <w:highlight w:val="yellow"/>
        </w:rPr>
      </w:pPr>
    </w:p>
    <w:p w:rsidR="00260C03" w:rsidRPr="00260C03" w:rsidRDefault="00260C03" w:rsidP="00B22A59">
      <w:r w:rsidRPr="00CF5DC8">
        <w:t xml:space="preserve">Findings of this study present a new approach to </w:t>
      </w:r>
      <w:r w:rsidR="00CF5DC8">
        <w:t>understand</w:t>
      </w:r>
      <w:r w:rsidRPr="00CF5DC8">
        <w:t xml:space="preserve"> transfer behaviours, and contribute to the current state of art of transfer. This study should be viewed as an exploratory effort to develop </w:t>
      </w:r>
      <w:r w:rsidR="00CF5DC8">
        <w:t>new concept</w:t>
      </w:r>
      <w:r w:rsidR="00446388">
        <w:t xml:space="preserve">: </w:t>
      </w:r>
      <w:r w:rsidRPr="00CF5DC8">
        <w:t>the cognitive transfer locations</w:t>
      </w:r>
      <w:r w:rsidR="00446388">
        <w:t>,</w:t>
      </w:r>
      <w:r w:rsidR="00446388" w:rsidRPr="00446388">
        <w:t xml:space="preserve"> </w:t>
      </w:r>
      <w:r w:rsidR="00446388">
        <w:t>to better capture transfer behaviours</w:t>
      </w:r>
      <w:r w:rsidRPr="00CF5DC8">
        <w:t xml:space="preserve">. </w:t>
      </w:r>
      <w:r w:rsidR="007E5792">
        <w:t xml:space="preserve">The authors acknowledge that the definition of “transfer” can be more complicated than just any two trips made in less than 60 minutes apart and is not a round trip. </w:t>
      </w:r>
      <w:r w:rsidR="00E81A45">
        <w:t>D</w:t>
      </w:r>
      <w:r w:rsidR="00A661DF" w:rsidRPr="00A661DF">
        <w:t xml:space="preserve">ue to the limitation in the </w:t>
      </w:r>
      <w:r w:rsidR="00A661DF">
        <w:t>dataset</w:t>
      </w:r>
      <w:r w:rsidR="007E5792">
        <w:t xml:space="preserve">, it is impossible to </w:t>
      </w:r>
      <w:r w:rsidR="00A661DF">
        <w:t>distinguish short activities enroute to destinations with those genuine transfers. Future researc</w:t>
      </w:r>
      <w:r w:rsidR="00C7125D">
        <w:t>h could build upon this to better define transfer journeys.</w:t>
      </w:r>
      <w:r w:rsidR="00920926">
        <w:t xml:space="preserve"> For example,</w:t>
      </w:r>
      <w:r w:rsidR="00C7125D">
        <w:t xml:space="preserve"> </w:t>
      </w:r>
      <w:r w:rsidR="00920926">
        <w:fldChar w:fldCharType="begin"/>
      </w:r>
      <w:r w:rsidR="00920926">
        <w:instrText xml:space="preserve"> ADDIN EN.CITE &lt;EndNote&gt;&lt;Cite AuthorYear="1"&gt;&lt;Author&gt;Nassir&lt;/Author&gt;&lt;Year&gt;2015&lt;/Year&gt;&lt;RecNum&gt;240&lt;/RecNum&gt;&lt;DisplayText&gt;Nassir et al. (2015)&lt;/DisplayText&gt;&lt;record&gt;&lt;rec-number&gt;240&lt;/rec-number&gt;&lt;foreign-keys&gt;&lt;key app="EN" db-id="wt5p2v0d1pes9fetednxdse65xefzpvzzxvf"&gt;240&lt;/key&gt;&lt;/foreign-keys&gt;&lt;ref-type name="Journal Article"&gt;17&lt;/ref-type&gt;&lt;contributors&gt;&lt;authors&gt;&lt;author&gt;Nassir, Neema&lt;/author&gt;&lt;author&gt;Hickman, Mark&lt;/author&gt;&lt;author&gt;Ma, Zhen Liang&lt;/author&gt;&lt;/authors&gt;&lt;/contributors&gt;&lt;titles&gt;&lt;title&gt;Activity detection and transfer identification for public transit fare card data&lt;/title&gt;&lt;secondary-title&gt;Transportation&lt;/secondary-title&gt;&lt;/titles&gt;&lt;periodical&gt;&lt;full-title&gt;Transportation&lt;/full-title&gt;&lt;abbr-1&gt;Transportation&lt;/abbr-1&gt;&lt;/periodical&gt;&lt;pages&gt;683-705&lt;/pages&gt;&lt;volume&gt;42&lt;/volume&gt;&lt;number&gt;4&lt;/number&gt;&lt;dates&gt;&lt;year&gt;2015&lt;/year&gt;&lt;/dates&gt;&lt;isbn&gt;1572-9435&lt;/isbn&gt;&lt;label&gt;Nassir2015&lt;/label&gt;&lt;work-type&gt;journal article&lt;/work-type&gt;&lt;urls&gt;&lt;related-urls&gt;&lt;url&gt;http://dx.doi.org/10.1007/s11116-015-9601-6&lt;/url&gt;&lt;/related-urls&gt;&lt;/urls&gt;&lt;electronic-resource-num&gt;10.1007/s11116-015-9601-6&lt;/electronic-resource-num&gt;&lt;/record&gt;&lt;/Cite&gt;&lt;/EndNote&gt;</w:instrText>
      </w:r>
      <w:r w:rsidR="00920926">
        <w:fldChar w:fldCharType="separate"/>
      </w:r>
      <w:hyperlink w:anchor="_ENREF_22" w:tooltip="Nassir, 2015 #240" w:history="1">
        <w:r w:rsidR="00B77B2A">
          <w:rPr>
            <w:noProof/>
          </w:rPr>
          <w:t>Nassir et al. (2015</w:t>
        </w:r>
      </w:hyperlink>
      <w:r w:rsidR="00920926">
        <w:rPr>
          <w:noProof/>
        </w:rPr>
        <w:t>)</w:t>
      </w:r>
      <w:r w:rsidR="00920926">
        <w:fldChar w:fldCharType="end"/>
      </w:r>
      <w:r w:rsidR="00920926">
        <w:t xml:space="preserve"> uses the concept of “off-optimality” to identify short activities within the labelled transfers. This is measured as a difference in travel time between the observed trajectory and the fastest path in a time-dependant transit network. The focus of this study</w:t>
      </w:r>
      <w:r w:rsidRPr="00CF5DC8">
        <w:t xml:space="preserve"> is only given to bus </w:t>
      </w:r>
      <w:r w:rsidR="005E6D2A">
        <w:t>journey</w:t>
      </w:r>
      <w:r w:rsidRPr="00CF5DC8">
        <w:t xml:space="preserve">s with a single transfer. Future research could build upon this concept to consider multimodal transit </w:t>
      </w:r>
      <w:r w:rsidR="005E6D2A">
        <w:t>journey</w:t>
      </w:r>
      <w:r w:rsidRPr="00CF5DC8">
        <w:t xml:space="preserve">s and those </w:t>
      </w:r>
      <w:r w:rsidR="005E6D2A">
        <w:t>journey</w:t>
      </w:r>
      <w:r w:rsidRPr="00CF5DC8">
        <w:t xml:space="preserve">s with more than a single transfer. This new concept could </w:t>
      </w:r>
      <w:r w:rsidR="00CF5DC8">
        <w:t xml:space="preserve">later </w:t>
      </w:r>
      <w:r w:rsidRPr="00CF5DC8">
        <w:t xml:space="preserve">be incorporated </w:t>
      </w:r>
      <w:r w:rsidR="00CF5DC8">
        <w:t xml:space="preserve">as a new variable in mode choice analysis. </w:t>
      </w:r>
      <w:r w:rsidR="00446388">
        <w:t>T</w:t>
      </w:r>
      <w:r w:rsidR="00CF5DC8">
        <w:t xml:space="preserve">his concept could </w:t>
      </w:r>
      <w:r w:rsidR="00446388">
        <w:t xml:space="preserve">also </w:t>
      </w:r>
      <w:r w:rsidR="00CF5DC8">
        <w:t xml:space="preserve">be applied to </w:t>
      </w:r>
      <w:r w:rsidRPr="00CF5DC8">
        <w:t>improve defining the transit service coverage. The conventional method defines the transit catchment area using door-to-door travel time, where the impedance of transfer is modelled simply as an extra travel time. Integrating the transfer location factor to the traditional door-to-door travel time approach could definitely give a more realistic representation of transit spatial coverage.</w:t>
      </w:r>
    </w:p>
    <w:p w:rsidR="00260C03" w:rsidRPr="00260C03" w:rsidRDefault="00260C03" w:rsidP="00B22A59"/>
    <w:p w:rsidR="00260C03" w:rsidRPr="00260C03" w:rsidRDefault="00260C03" w:rsidP="00260C03">
      <w:pPr>
        <w:pStyle w:val="Heading1"/>
      </w:pPr>
      <w:r w:rsidRPr="00260C03">
        <w:t>Acknowledgements</w:t>
      </w:r>
    </w:p>
    <w:p w:rsidR="00260C03" w:rsidRPr="00260C03" w:rsidRDefault="00260C03" w:rsidP="00B22A59"/>
    <w:p w:rsidR="00260C03" w:rsidRPr="002B1397" w:rsidRDefault="00260C03" w:rsidP="00260C03">
      <w:r w:rsidRPr="00260C03">
        <w:t xml:space="preserve">The authors would like to take </w:t>
      </w:r>
      <w:r w:rsidR="0091197D">
        <w:t>this opportunity to thank TransL</w:t>
      </w:r>
      <w:r w:rsidRPr="00260C03">
        <w:t>ink for valuable support to this research.</w:t>
      </w:r>
    </w:p>
    <w:p w:rsidR="007F122B" w:rsidRDefault="007F122B">
      <w:pPr>
        <w:spacing w:after="200" w:line="276" w:lineRule="auto"/>
        <w:jc w:val="left"/>
        <w:rPr>
          <w:rFonts w:eastAsiaTheme="majorEastAsia" w:cstheme="majorBidi"/>
          <w:b/>
          <w:bCs/>
          <w:sz w:val="32"/>
          <w:szCs w:val="28"/>
          <w:lang w:eastAsia="ko-KR"/>
        </w:rPr>
      </w:pPr>
      <w:r>
        <w:br w:type="page"/>
      </w:r>
    </w:p>
    <w:p w:rsidR="00260C03" w:rsidRPr="00260C03" w:rsidRDefault="00260C03" w:rsidP="00260C03">
      <w:pPr>
        <w:pStyle w:val="Heading1"/>
      </w:pPr>
      <w:r>
        <w:t>Reference List</w:t>
      </w:r>
    </w:p>
    <w:p w:rsidR="00DD7CC4" w:rsidRDefault="00DD7CC4" w:rsidP="00B77B2A">
      <w:pPr>
        <w:rPr>
          <w:rFonts w:cs="Arial"/>
          <w:sz w:val="24"/>
          <w:szCs w:val="24"/>
        </w:rPr>
      </w:pPr>
    </w:p>
    <w:p w:rsidR="00B77B2A" w:rsidRPr="00B77B2A" w:rsidRDefault="00DD7CC4" w:rsidP="00B77B2A">
      <w:pPr>
        <w:spacing w:before="240"/>
        <w:ind w:left="720" w:hanging="720"/>
        <w:rPr>
          <w:rFonts w:cs="Arial"/>
          <w:noProof/>
        </w:rPr>
      </w:pPr>
      <w:r w:rsidRPr="00446388">
        <w:rPr>
          <w:rFonts w:cs="Arial"/>
        </w:rPr>
        <w:fldChar w:fldCharType="begin"/>
      </w:r>
      <w:r w:rsidRPr="00446388">
        <w:rPr>
          <w:rFonts w:cs="Arial"/>
        </w:rPr>
        <w:instrText xml:space="preserve"> ADDIN EN.REFLIST </w:instrText>
      </w:r>
      <w:r w:rsidRPr="00446388">
        <w:rPr>
          <w:rFonts w:cs="Arial"/>
        </w:rPr>
        <w:fldChar w:fldCharType="separate"/>
      </w:r>
      <w:bookmarkStart w:id="28" w:name="_ENREF_1"/>
      <w:r w:rsidR="00B77B2A" w:rsidRPr="00B77B2A">
        <w:rPr>
          <w:rFonts w:cs="Arial"/>
          <w:noProof/>
        </w:rPr>
        <w:t xml:space="preserve">Brown, J. and Thompson, G. (2008). Service orientation, bus—rail service integration, and transit performance: Examination of 45 U.S. metropolitan areas. </w:t>
      </w:r>
      <w:r w:rsidR="00B77B2A" w:rsidRPr="00B77B2A">
        <w:rPr>
          <w:rFonts w:cs="Arial"/>
          <w:i/>
          <w:noProof/>
        </w:rPr>
        <w:t>Transportation Research Record, 2042</w:t>
      </w:r>
      <w:r w:rsidR="00B77B2A" w:rsidRPr="00B77B2A">
        <w:rPr>
          <w:rFonts w:cs="Arial"/>
          <w:noProof/>
        </w:rPr>
        <w:t>, 82-89. doi: 10.3141/2042-09</w:t>
      </w:r>
      <w:bookmarkEnd w:id="28"/>
    </w:p>
    <w:p w:rsidR="00B77B2A" w:rsidRPr="00B77B2A" w:rsidRDefault="00B77B2A" w:rsidP="00B77B2A">
      <w:pPr>
        <w:spacing w:before="240"/>
        <w:ind w:left="720" w:hanging="720"/>
        <w:rPr>
          <w:rFonts w:cs="Arial"/>
          <w:noProof/>
        </w:rPr>
      </w:pPr>
      <w:bookmarkStart w:id="29" w:name="_ENREF_2"/>
      <w:r w:rsidRPr="00B77B2A">
        <w:rPr>
          <w:rFonts w:cs="Arial"/>
          <w:noProof/>
        </w:rPr>
        <w:t xml:space="preserve">Ceder, A., Chowdhury, S., Taghipouran, N. and Olsen, J. (2013). Modelling public-transport users’ behaviour at connection point. </w:t>
      </w:r>
      <w:r w:rsidRPr="00B77B2A">
        <w:rPr>
          <w:rFonts w:cs="Arial"/>
          <w:i/>
          <w:noProof/>
        </w:rPr>
        <w:t>Transport Policy, 27</w:t>
      </w:r>
      <w:r w:rsidRPr="00B77B2A">
        <w:rPr>
          <w:rFonts w:cs="Arial"/>
          <w:noProof/>
        </w:rPr>
        <w:t>, 112-122. doi: 10.1016/j.tranpol.2013.01.002</w:t>
      </w:r>
      <w:bookmarkEnd w:id="29"/>
    </w:p>
    <w:p w:rsidR="00B77B2A" w:rsidRPr="00B77B2A" w:rsidRDefault="00B77B2A" w:rsidP="00B77B2A">
      <w:pPr>
        <w:spacing w:before="240"/>
        <w:ind w:left="720" w:hanging="720"/>
        <w:rPr>
          <w:rFonts w:cs="Arial"/>
          <w:noProof/>
        </w:rPr>
      </w:pPr>
      <w:bookmarkStart w:id="30" w:name="_ENREF_3"/>
      <w:r w:rsidRPr="00B77B2A">
        <w:rPr>
          <w:rFonts w:cs="Arial"/>
          <w:noProof/>
        </w:rPr>
        <w:t xml:space="preserve">Cheng, W., Wang, W. and Batista, S. (2013). Grid-based clustering. In C. C. Aggarwal and C. K. Reddy (Eds.), </w:t>
      </w:r>
      <w:r w:rsidRPr="00B77B2A">
        <w:rPr>
          <w:rFonts w:cs="Arial"/>
          <w:i/>
          <w:noProof/>
        </w:rPr>
        <w:t>Data clustering: Algorithms and applications</w:t>
      </w:r>
      <w:r w:rsidRPr="00B77B2A">
        <w:rPr>
          <w:rFonts w:cs="Arial"/>
          <w:noProof/>
        </w:rPr>
        <w:t xml:space="preserve"> (Vol. 31, pp. 127-148). Hoboken: CRC Press.</w:t>
      </w:r>
      <w:bookmarkEnd w:id="30"/>
    </w:p>
    <w:p w:rsidR="00B77B2A" w:rsidRPr="00B77B2A" w:rsidRDefault="00B77B2A" w:rsidP="00B77B2A">
      <w:pPr>
        <w:spacing w:before="240"/>
        <w:ind w:left="720" w:hanging="720"/>
        <w:rPr>
          <w:rFonts w:cs="Arial"/>
          <w:noProof/>
        </w:rPr>
      </w:pPr>
      <w:bookmarkStart w:id="31" w:name="_ENREF_4"/>
      <w:r w:rsidRPr="00B77B2A">
        <w:rPr>
          <w:rFonts w:cs="Arial"/>
          <w:noProof/>
        </w:rPr>
        <w:t xml:space="preserve">Chia, J., Lee, J. and Kamruzzaman, M. (2016). Walking to public transit – Exploring variations by socio-economic status. </w:t>
      </w:r>
      <w:r w:rsidRPr="00B77B2A">
        <w:rPr>
          <w:rFonts w:cs="Arial"/>
          <w:i/>
          <w:noProof/>
        </w:rPr>
        <w:t>International Journal of Sustainable Transportation, 10</w:t>
      </w:r>
      <w:r w:rsidRPr="00B77B2A">
        <w:rPr>
          <w:rFonts w:cs="Arial"/>
          <w:noProof/>
        </w:rPr>
        <w:t>(9), 805-814. doi: 10.1080/15568318.2016.1156792</w:t>
      </w:r>
      <w:bookmarkEnd w:id="31"/>
    </w:p>
    <w:p w:rsidR="00B77B2A" w:rsidRPr="00B77B2A" w:rsidRDefault="00B77B2A" w:rsidP="00B77B2A">
      <w:pPr>
        <w:spacing w:before="240"/>
        <w:ind w:left="720" w:hanging="720"/>
        <w:rPr>
          <w:rFonts w:cs="Arial"/>
          <w:noProof/>
        </w:rPr>
      </w:pPr>
      <w:bookmarkStart w:id="32" w:name="_ENREF_5"/>
      <w:r w:rsidRPr="00B77B2A">
        <w:rPr>
          <w:rFonts w:cs="Arial"/>
          <w:noProof/>
        </w:rPr>
        <w:t xml:space="preserve">Chowdhury, S. and Ceder, A. (2013). Definition of planned and unplanned transfer of public transport service and user decisions to use routes with transfers. </w:t>
      </w:r>
      <w:r w:rsidRPr="00B77B2A">
        <w:rPr>
          <w:rFonts w:cs="Arial"/>
          <w:i/>
          <w:noProof/>
        </w:rPr>
        <w:t>Journal of public transportation, 16</w:t>
      </w:r>
      <w:r w:rsidRPr="00B77B2A">
        <w:rPr>
          <w:rFonts w:cs="Arial"/>
          <w:noProof/>
        </w:rPr>
        <w:t>(2), 1-20. doi: 10.5038/2375-0901.16.2.1</w:t>
      </w:r>
      <w:bookmarkEnd w:id="32"/>
    </w:p>
    <w:p w:rsidR="00B77B2A" w:rsidRPr="00B77B2A" w:rsidRDefault="00B77B2A" w:rsidP="00B77B2A">
      <w:pPr>
        <w:spacing w:before="240"/>
        <w:ind w:left="720" w:hanging="720"/>
        <w:rPr>
          <w:rFonts w:cs="Arial"/>
          <w:noProof/>
        </w:rPr>
      </w:pPr>
      <w:bookmarkStart w:id="33" w:name="_ENREF_6"/>
      <w:r w:rsidRPr="00B77B2A">
        <w:rPr>
          <w:rFonts w:cs="Arial"/>
          <w:noProof/>
        </w:rPr>
        <w:t xml:space="preserve">Chowdhury, S., Ceder, A. and Sachdeva, R. (2014). The effects of planned and unplanned transfers on public transport users' perception of transfer routes. </w:t>
      </w:r>
      <w:r w:rsidRPr="00B77B2A">
        <w:rPr>
          <w:rFonts w:cs="Arial"/>
          <w:i/>
          <w:noProof/>
        </w:rPr>
        <w:t>Transportation Planning and Technology, 37</w:t>
      </w:r>
      <w:r w:rsidRPr="00B77B2A">
        <w:rPr>
          <w:rFonts w:cs="Arial"/>
          <w:noProof/>
        </w:rPr>
        <w:t>(2), 154-168. doi: 10.1080/03081060.2013.851511</w:t>
      </w:r>
      <w:bookmarkEnd w:id="33"/>
    </w:p>
    <w:p w:rsidR="00B77B2A" w:rsidRPr="00B77B2A" w:rsidRDefault="00B77B2A" w:rsidP="00B77B2A">
      <w:pPr>
        <w:spacing w:before="240"/>
        <w:ind w:left="720" w:hanging="720"/>
        <w:rPr>
          <w:rFonts w:cs="Arial"/>
          <w:noProof/>
        </w:rPr>
      </w:pPr>
      <w:bookmarkStart w:id="34" w:name="_ENREF_7"/>
      <w:r w:rsidRPr="00B77B2A">
        <w:rPr>
          <w:rFonts w:cs="Arial"/>
          <w:noProof/>
        </w:rPr>
        <w:t xml:space="preserve">Currie, G. and Loader, C. (2010). Bus network planning for transfers and the network effect in Melbourne, Australia. </w:t>
      </w:r>
      <w:r w:rsidRPr="00B77B2A">
        <w:rPr>
          <w:rFonts w:cs="Arial"/>
          <w:i/>
          <w:noProof/>
        </w:rPr>
        <w:t>Transportation Research Record, 2145</w:t>
      </w:r>
      <w:r w:rsidRPr="00B77B2A">
        <w:rPr>
          <w:rFonts w:cs="Arial"/>
          <w:noProof/>
        </w:rPr>
        <w:t>(1), 8-17. doi: 10.3141/2145-02</w:t>
      </w:r>
      <w:bookmarkEnd w:id="34"/>
    </w:p>
    <w:p w:rsidR="00B77B2A" w:rsidRPr="00B77B2A" w:rsidRDefault="00B77B2A" w:rsidP="00B77B2A">
      <w:pPr>
        <w:spacing w:before="240"/>
        <w:ind w:left="720" w:hanging="720"/>
        <w:rPr>
          <w:rFonts w:cs="Arial"/>
          <w:noProof/>
        </w:rPr>
      </w:pPr>
      <w:bookmarkStart w:id="35" w:name="_ENREF_8"/>
      <w:r w:rsidRPr="00B77B2A">
        <w:rPr>
          <w:rFonts w:cs="Arial"/>
          <w:noProof/>
        </w:rPr>
        <w:t xml:space="preserve">Devney, J. (2014). </w:t>
      </w:r>
      <w:r w:rsidRPr="00B77B2A">
        <w:rPr>
          <w:rFonts w:cs="Arial"/>
          <w:i/>
          <w:noProof/>
        </w:rPr>
        <w:t>Redesigning bus networks to be simpler, faster and more connected.</w:t>
      </w:r>
      <w:r w:rsidRPr="00B77B2A">
        <w:rPr>
          <w:rFonts w:cs="Arial"/>
          <w:noProof/>
        </w:rPr>
        <w:t xml:space="preserve"> Paper presented at the Australian Institute of Traffic Planning and Management (AITPM) National Conference, Adelaide, South Australia, Australia.</w:t>
      </w:r>
      <w:bookmarkEnd w:id="35"/>
    </w:p>
    <w:p w:rsidR="00B77B2A" w:rsidRPr="00B77B2A" w:rsidRDefault="00B77B2A" w:rsidP="00B77B2A">
      <w:pPr>
        <w:spacing w:before="240"/>
        <w:ind w:left="720" w:hanging="720"/>
        <w:rPr>
          <w:rFonts w:cs="Arial"/>
          <w:noProof/>
        </w:rPr>
      </w:pPr>
      <w:bookmarkStart w:id="36" w:name="_ENREF_9"/>
      <w:r w:rsidRPr="00B77B2A">
        <w:rPr>
          <w:rFonts w:cs="Arial"/>
          <w:noProof/>
        </w:rPr>
        <w:t xml:space="preserve">Guo, Z. and Ferreira, J. (2008). Pedestrian environments, transit path choice, and transfer penalties: Understanding land-use impacts on transit travel. </w:t>
      </w:r>
      <w:r w:rsidRPr="00B77B2A">
        <w:rPr>
          <w:rFonts w:cs="Arial"/>
          <w:i/>
          <w:noProof/>
        </w:rPr>
        <w:t>Environment and Planning B: Planning and Design, 35</w:t>
      </w:r>
      <w:r w:rsidRPr="00B77B2A">
        <w:rPr>
          <w:rFonts w:cs="Arial"/>
          <w:noProof/>
        </w:rPr>
        <w:t>(3), 461-479. doi: 10.1068/b33074</w:t>
      </w:r>
      <w:bookmarkEnd w:id="36"/>
    </w:p>
    <w:p w:rsidR="00B77B2A" w:rsidRPr="00B77B2A" w:rsidRDefault="00B77B2A" w:rsidP="00B77B2A">
      <w:pPr>
        <w:spacing w:before="240"/>
        <w:ind w:left="720" w:hanging="720"/>
        <w:rPr>
          <w:rFonts w:cs="Arial"/>
          <w:noProof/>
        </w:rPr>
      </w:pPr>
      <w:bookmarkStart w:id="37" w:name="_ENREF_10"/>
      <w:r w:rsidRPr="00B77B2A">
        <w:rPr>
          <w:rFonts w:cs="Arial"/>
          <w:noProof/>
        </w:rPr>
        <w:t xml:space="preserve">Guo, Z. and Wilson, N. (2004). Assessment of the transfer penalty for transit trips geographic information system-based disaggregate modeling approach. </w:t>
      </w:r>
      <w:r w:rsidRPr="00B77B2A">
        <w:rPr>
          <w:rFonts w:cs="Arial"/>
          <w:i/>
          <w:noProof/>
        </w:rPr>
        <w:t>Transportation Research Record: Journal of the Transportation Research Board, 1872</w:t>
      </w:r>
      <w:r w:rsidRPr="00B77B2A">
        <w:rPr>
          <w:rFonts w:cs="Arial"/>
          <w:noProof/>
        </w:rPr>
        <w:t>, 10-18. doi: 10.3141/1872-02</w:t>
      </w:r>
      <w:bookmarkEnd w:id="37"/>
    </w:p>
    <w:p w:rsidR="00B77B2A" w:rsidRPr="00B77B2A" w:rsidRDefault="00B77B2A" w:rsidP="00B77B2A">
      <w:pPr>
        <w:spacing w:before="240"/>
        <w:ind w:left="720" w:hanging="720"/>
        <w:rPr>
          <w:rFonts w:cs="Arial"/>
          <w:noProof/>
        </w:rPr>
      </w:pPr>
      <w:bookmarkStart w:id="38" w:name="_ENREF_11"/>
      <w:r w:rsidRPr="00B77B2A">
        <w:rPr>
          <w:rFonts w:cs="Arial"/>
          <w:noProof/>
        </w:rPr>
        <w:t xml:space="preserve">Guo, Z. and Wilson, N. (2011). Assessing the cost of transfer inconvenience in public transport systems: A case study of the London Underground. </w:t>
      </w:r>
      <w:r w:rsidRPr="00B77B2A">
        <w:rPr>
          <w:rFonts w:cs="Arial"/>
          <w:i/>
          <w:noProof/>
        </w:rPr>
        <w:t>Transportation Research Part A: Policy and Practice, 45</w:t>
      </w:r>
      <w:r w:rsidRPr="00B77B2A">
        <w:rPr>
          <w:rFonts w:cs="Arial"/>
          <w:noProof/>
        </w:rPr>
        <w:t>(2), 91-104. doi: 10.1016/j.tra.2010.11.002</w:t>
      </w:r>
      <w:bookmarkEnd w:id="38"/>
    </w:p>
    <w:p w:rsidR="00B77B2A" w:rsidRPr="00B77B2A" w:rsidRDefault="00B77B2A" w:rsidP="00B77B2A">
      <w:pPr>
        <w:spacing w:before="240"/>
        <w:ind w:left="720" w:hanging="720"/>
        <w:rPr>
          <w:rFonts w:cs="Arial"/>
          <w:noProof/>
        </w:rPr>
      </w:pPr>
      <w:bookmarkStart w:id="39" w:name="_ENREF_12"/>
      <w:r w:rsidRPr="00B77B2A">
        <w:rPr>
          <w:rFonts w:cs="Arial"/>
          <w:noProof/>
        </w:rPr>
        <w:t xml:space="preserve">Hadas, Y. and Ceder, A. (2010). Public transit network connectivity. </w:t>
      </w:r>
      <w:r w:rsidRPr="00B77B2A">
        <w:rPr>
          <w:rFonts w:cs="Arial"/>
          <w:i/>
          <w:noProof/>
        </w:rPr>
        <w:t>Transportation Research Record, 2143</w:t>
      </w:r>
      <w:r w:rsidRPr="00B77B2A">
        <w:rPr>
          <w:rFonts w:cs="Arial"/>
          <w:noProof/>
        </w:rPr>
        <w:t>, 1-8. doi: 10.3141/2143-01</w:t>
      </w:r>
      <w:bookmarkEnd w:id="39"/>
    </w:p>
    <w:p w:rsidR="00B77B2A" w:rsidRPr="00B77B2A" w:rsidRDefault="00B77B2A" w:rsidP="00B77B2A">
      <w:pPr>
        <w:spacing w:before="240"/>
        <w:ind w:left="720" w:hanging="720"/>
        <w:rPr>
          <w:rFonts w:cs="Arial"/>
          <w:noProof/>
        </w:rPr>
      </w:pPr>
      <w:bookmarkStart w:id="40" w:name="_ENREF_13"/>
      <w:r w:rsidRPr="00B77B2A">
        <w:rPr>
          <w:rFonts w:cs="Arial"/>
          <w:noProof/>
        </w:rPr>
        <w:t xml:space="preserve">Hadas, Y. and Ranjitkar, P. (2012). Modeling public-transit connectivity with spatial quality-of-transfer measurements. </w:t>
      </w:r>
      <w:r w:rsidRPr="00B77B2A">
        <w:rPr>
          <w:rFonts w:cs="Arial"/>
          <w:i/>
          <w:noProof/>
        </w:rPr>
        <w:t>Journal of Transport Geography, 22</w:t>
      </w:r>
      <w:r w:rsidRPr="00B77B2A">
        <w:rPr>
          <w:rFonts w:cs="Arial"/>
          <w:noProof/>
        </w:rPr>
        <w:t>, 137-147. doi: 10.1016/j.jtrangeo.2011.12.003</w:t>
      </w:r>
      <w:bookmarkEnd w:id="40"/>
    </w:p>
    <w:p w:rsidR="00B77B2A" w:rsidRPr="00B77B2A" w:rsidRDefault="00B77B2A" w:rsidP="00B77B2A">
      <w:pPr>
        <w:spacing w:before="240"/>
        <w:ind w:left="720" w:hanging="720"/>
        <w:rPr>
          <w:rFonts w:cs="Arial"/>
          <w:noProof/>
        </w:rPr>
      </w:pPr>
      <w:bookmarkStart w:id="41" w:name="_ENREF_14"/>
      <w:r w:rsidRPr="00B77B2A">
        <w:rPr>
          <w:rFonts w:cs="Arial"/>
          <w:noProof/>
        </w:rPr>
        <w:t xml:space="preserve">Horner, M. W. and Murray, A. T. (2004). Spatial representation and scale impacts in transit service assessment. </w:t>
      </w:r>
      <w:r w:rsidRPr="00B77B2A">
        <w:rPr>
          <w:rFonts w:cs="Arial"/>
          <w:i/>
          <w:noProof/>
        </w:rPr>
        <w:t>Environment and Planning B, 31</w:t>
      </w:r>
      <w:r w:rsidRPr="00B77B2A">
        <w:rPr>
          <w:rFonts w:cs="Arial"/>
          <w:noProof/>
        </w:rPr>
        <w:t>, 785-798. doi: 10.1068/b3046</w:t>
      </w:r>
      <w:bookmarkEnd w:id="41"/>
    </w:p>
    <w:p w:rsidR="00B77B2A" w:rsidRPr="00B77B2A" w:rsidRDefault="00B77B2A" w:rsidP="00B77B2A">
      <w:pPr>
        <w:spacing w:before="240"/>
        <w:ind w:left="720" w:hanging="720"/>
        <w:rPr>
          <w:rFonts w:cs="Arial"/>
          <w:noProof/>
        </w:rPr>
      </w:pPr>
      <w:bookmarkStart w:id="42" w:name="_ENREF_15"/>
      <w:r w:rsidRPr="00B77B2A">
        <w:rPr>
          <w:rFonts w:cs="Arial"/>
          <w:noProof/>
        </w:rPr>
        <w:t xml:space="preserve">Iseki, H. and Taylor, B. D. (2009). Not all transfers are created equal: Towards a framework relating transfer connectivity to travel behaviour. </w:t>
      </w:r>
      <w:r w:rsidRPr="00B77B2A">
        <w:rPr>
          <w:rFonts w:cs="Arial"/>
          <w:i/>
          <w:noProof/>
        </w:rPr>
        <w:t>Transport Reviews, 29</w:t>
      </w:r>
      <w:r w:rsidRPr="00B77B2A">
        <w:rPr>
          <w:rFonts w:cs="Arial"/>
          <w:noProof/>
        </w:rPr>
        <w:t>(6), 777-800. doi: 10.1080/01441640902811304</w:t>
      </w:r>
      <w:bookmarkEnd w:id="42"/>
    </w:p>
    <w:p w:rsidR="00B77B2A" w:rsidRPr="00B77B2A" w:rsidRDefault="00B77B2A" w:rsidP="00B77B2A">
      <w:pPr>
        <w:spacing w:before="240"/>
        <w:ind w:left="720" w:hanging="720"/>
        <w:rPr>
          <w:rFonts w:cs="Arial"/>
          <w:noProof/>
        </w:rPr>
      </w:pPr>
      <w:bookmarkStart w:id="43" w:name="_ENREF_16"/>
      <w:r w:rsidRPr="00B77B2A">
        <w:rPr>
          <w:rFonts w:cs="Arial"/>
          <w:noProof/>
        </w:rPr>
        <w:t xml:space="preserve">Iseki, H. and Taylor, B. D. (2010). Style versus service? An analysis of user perceptions of transit stops and stations. </w:t>
      </w:r>
      <w:r w:rsidRPr="00B77B2A">
        <w:rPr>
          <w:rFonts w:cs="Arial"/>
          <w:i/>
          <w:noProof/>
        </w:rPr>
        <w:t>Journal of public transportation, 13</w:t>
      </w:r>
      <w:r w:rsidRPr="00B77B2A">
        <w:rPr>
          <w:rFonts w:cs="Arial"/>
          <w:noProof/>
        </w:rPr>
        <w:t>(3), 2. doi: 10.5038/2375-0901.13.3.2</w:t>
      </w:r>
      <w:bookmarkEnd w:id="43"/>
    </w:p>
    <w:p w:rsidR="00B77B2A" w:rsidRPr="00B77B2A" w:rsidRDefault="00B77B2A" w:rsidP="00B77B2A">
      <w:pPr>
        <w:spacing w:before="240"/>
        <w:ind w:left="720" w:hanging="720"/>
        <w:rPr>
          <w:rFonts w:cs="Arial"/>
          <w:noProof/>
        </w:rPr>
      </w:pPr>
      <w:bookmarkStart w:id="44" w:name="_ENREF_17"/>
      <w:r w:rsidRPr="00B77B2A">
        <w:rPr>
          <w:rFonts w:cs="Arial"/>
          <w:noProof/>
        </w:rPr>
        <w:t>Kittelson &amp; Associates Inc., KFH Group Inc., Parsons Brinckerhoff Quade &amp; Douglass Inc and Hunter-Zaworski, K. (2003). Transit capacity and quality of service manual (2 ed.). Washington, D.C.: Texas Transport Institute and Transport Consulting Limited.</w:t>
      </w:r>
      <w:bookmarkEnd w:id="44"/>
    </w:p>
    <w:p w:rsidR="00B77B2A" w:rsidRPr="00B77B2A" w:rsidRDefault="00B77B2A" w:rsidP="00B77B2A">
      <w:pPr>
        <w:spacing w:before="240"/>
        <w:ind w:left="720" w:hanging="720"/>
        <w:rPr>
          <w:rFonts w:cs="Arial"/>
          <w:noProof/>
        </w:rPr>
      </w:pPr>
      <w:bookmarkStart w:id="45" w:name="_ENREF_18"/>
      <w:r w:rsidRPr="00B77B2A">
        <w:rPr>
          <w:rFonts w:cs="Arial"/>
          <w:noProof/>
        </w:rPr>
        <w:t xml:space="preserve">Liu, R., Pendyala, R. and Polzin, S. (1997). Assessment of intermodal transfer penalties using stated preference data. </w:t>
      </w:r>
      <w:r w:rsidRPr="00B77B2A">
        <w:rPr>
          <w:rFonts w:cs="Arial"/>
          <w:i/>
          <w:noProof/>
        </w:rPr>
        <w:t>Transportation Research Record</w:t>
      </w:r>
      <w:r w:rsidRPr="00B77B2A">
        <w:rPr>
          <w:rFonts w:cs="Arial"/>
          <w:noProof/>
        </w:rPr>
        <w:t>(1607), 74-80. doi: 10.3141/1607-11</w:t>
      </w:r>
      <w:bookmarkEnd w:id="45"/>
    </w:p>
    <w:p w:rsidR="00B77B2A" w:rsidRPr="00B77B2A" w:rsidRDefault="00B77B2A" w:rsidP="00B77B2A">
      <w:pPr>
        <w:spacing w:before="240"/>
        <w:ind w:left="720" w:hanging="720"/>
        <w:rPr>
          <w:rFonts w:cs="Arial"/>
          <w:noProof/>
        </w:rPr>
      </w:pPr>
      <w:bookmarkStart w:id="46" w:name="_ENREF_19"/>
      <w:r w:rsidRPr="00B77B2A">
        <w:rPr>
          <w:rFonts w:cs="Arial"/>
          <w:noProof/>
        </w:rPr>
        <w:t xml:space="preserve">Loukaitou-Sideris, A., Liggett, R., Iseki, H. and Thurlow, W. (2001). Measuring the effects of built environment on bus stop crime. </w:t>
      </w:r>
      <w:r w:rsidRPr="00B77B2A">
        <w:rPr>
          <w:rFonts w:cs="Arial"/>
          <w:i/>
          <w:noProof/>
        </w:rPr>
        <w:t>Environment and Planning B: Planning and Design, 28</w:t>
      </w:r>
      <w:r w:rsidRPr="00B77B2A">
        <w:rPr>
          <w:rFonts w:cs="Arial"/>
          <w:noProof/>
        </w:rPr>
        <w:t>(2), 255-280. doi: 10.1068/b2642r</w:t>
      </w:r>
      <w:bookmarkEnd w:id="46"/>
    </w:p>
    <w:p w:rsidR="00B77B2A" w:rsidRPr="00B77B2A" w:rsidRDefault="00B77B2A" w:rsidP="00B77B2A">
      <w:pPr>
        <w:spacing w:before="240"/>
        <w:ind w:left="720" w:hanging="720"/>
        <w:rPr>
          <w:rFonts w:cs="Arial"/>
          <w:noProof/>
        </w:rPr>
      </w:pPr>
      <w:bookmarkStart w:id="47" w:name="_ENREF_20"/>
      <w:r w:rsidRPr="00B77B2A">
        <w:rPr>
          <w:rFonts w:cs="Arial"/>
          <w:noProof/>
        </w:rPr>
        <w:t xml:space="preserve">Luk, J. and Olszewski, P. (2003). Integrated public transport in Singapore and Hong Kong. </w:t>
      </w:r>
      <w:r w:rsidRPr="00B77B2A">
        <w:rPr>
          <w:rFonts w:cs="Arial"/>
          <w:i/>
          <w:noProof/>
        </w:rPr>
        <w:t>Road and Transport Research, 12</w:t>
      </w:r>
      <w:r w:rsidRPr="00B77B2A">
        <w:rPr>
          <w:rFonts w:cs="Arial"/>
          <w:noProof/>
        </w:rPr>
        <w:t xml:space="preserve">(4), 41-51. </w:t>
      </w:r>
      <w:bookmarkEnd w:id="47"/>
    </w:p>
    <w:p w:rsidR="00B77B2A" w:rsidRPr="00B77B2A" w:rsidRDefault="00B77B2A" w:rsidP="00B77B2A">
      <w:pPr>
        <w:spacing w:before="240"/>
        <w:ind w:left="720" w:hanging="720"/>
        <w:rPr>
          <w:rFonts w:cs="Arial"/>
          <w:noProof/>
        </w:rPr>
      </w:pPr>
      <w:bookmarkStart w:id="48" w:name="_ENREF_21"/>
      <w:r w:rsidRPr="00B77B2A">
        <w:rPr>
          <w:rFonts w:cs="Arial"/>
          <w:noProof/>
        </w:rPr>
        <w:t xml:space="preserve">Mishalani, R. G., McCord, M. M. and Wirtz, J. (2006). Passenger wait time perceptions at bus stops: Empirical results and impact on evaluating real-time bus arrival information. </w:t>
      </w:r>
      <w:r w:rsidRPr="00B77B2A">
        <w:rPr>
          <w:rFonts w:cs="Arial"/>
          <w:i/>
          <w:noProof/>
        </w:rPr>
        <w:t>Journal of public transportation, 9</w:t>
      </w:r>
      <w:r w:rsidRPr="00B77B2A">
        <w:rPr>
          <w:rFonts w:cs="Arial"/>
          <w:noProof/>
        </w:rPr>
        <w:t>(2), 89-106. doi: 10.5038/2375-0901.9.2.5</w:t>
      </w:r>
      <w:bookmarkEnd w:id="48"/>
    </w:p>
    <w:p w:rsidR="00B77B2A" w:rsidRPr="00B77B2A" w:rsidRDefault="00B77B2A" w:rsidP="00B77B2A">
      <w:pPr>
        <w:spacing w:before="240"/>
        <w:ind w:left="720" w:hanging="720"/>
        <w:rPr>
          <w:rFonts w:cs="Arial"/>
          <w:noProof/>
        </w:rPr>
      </w:pPr>
      <w:bookmarkStart w:id="49" w:name="_ENREF_22"/>
      <w:r w:rsidRPr="00B77B2A">
        <w:rPr>
          <w:rFonts w:cs="Arial"/>
          <w:noProof/>
        </w:rPr>
        <w:t xml:space="preserve">Nassir, N., Hickman, M. and Ma, Z. L. (2015). Activity detection and transfer identification for public transit fare card data. </w:t>
      </w:r>
      <w:r w:rsidRPr="00B77B2A">
        <w:rPr>
          <w:rFonts w:cs="Arial"/>
          <w:i/>
          <w:noProof/>
        </w:rPr>
        <w:t>Transportation, 42</w:t>
      </w:r>
      <w:r w:rsidRPr="00B77B2A">
        <w:rPr>
          <w:rFonts w:cs="Arial"/>
          <w:noProof/>
        </w:rPr>
        <w:t>(4), 683-705. doi: 10.1007/s11116-015-9601-6</w:t>
      </w:r>
      <w:bookmarkEnd w:id="49"/>
    </w:p>
    <w:p w:rsidR="00B77B2A" w:rsidRPr="00B77B2A" w:rsidRDefault="00B77B2A" w:rsidP="00B77B2A">
      <w:pPr>
        <w:spacing w:before="240"/>
        <w:ind w:left="720" w:hanging="720"/>
        <w:rPr>
          <w:rFonts w:cs="Arial"/>
          <w:noProof/>
        </w:rPr>
      </w:pPr>
      <w:bookmarkStart w:id="50" w:name="_ENREF_23"/>
      <w:r w:rsidRPr="00B77B2A">
        <w:rPr>
          <w:rFonts w:cs="Arial"/>
          <w:noProof/>
        </w:rPr>
        <w:t xml:space="preserve">O'Sullivan, S. and Morrall, J. (1996). Walking distances to and from light-rail transit stations. </w:t>
      </w:r>
      <w:r w:rsidRPr="00B77B2A">
        <w:rPr>
          <w:rFonts w:cs="Arial"/>
          <w:i/>
          <w:noProof/>
        </w:rPr>
        <w:t>Transportation Research Record: Journal of the Transportation Research Board, 1538</w:t>
      </w:r>
      <w:r w:rsidRPr="00B77B2A">
        <w:rPr>
          <w:rFonts w:cs="Arial"/>
          <w:noProof/>
        </w:rPr>
        <w:t>(-1), 19-26. doi: 10.3141/1538-03</w:t>
      </w:r>
      <w:bookmarkEnd w:id="50"/>
    </w:p>
    <w:p w:rsidR="00B77B2A" w:rsidRPr="00B77B2A" w:rsidRDefault="00B77B2A" w:rsidP="00B77B2A">
      <w:pPr>
        <w:spacing w:before="240"/>
        <w:ind w:left="720" w:hanging="720"/>
        <w:rPr>
          <w:rFonts w:cs="Arial"/>
          <w:noProof/>
        </w:rPr>
      </w:pPr>
      <w:bookmarkStart w:id="51" w:name="_ENREF_24"/>
      <w:r w:rsidRPr="00B77B2A">
        <w:rPr>
          <w:rFonts w:cs="Arial"/>
          <w:noProof/>
        </w:rPr>
        <w:t xml:space="preserve">Pickrell, D. H. (1985). Rising Deficits and the Uses of Transit Subsidies in the United States. </w:t>
      </w:r>
      <w:r w:rsidRPr="00B77B2A">
        <w:rPr>
          <w:rFonts w:cs="Arial"/>
          <w:i/>
          <w:noProof/>
        </w:rPr>
        <w:t>Journal of Transport Economics and Policy, 19</w:t>
      </w:r>
      <w:r w:rsidRPr="00B77B2A">
        <w:rPr>
          <w:rFonts w:cs="Arial"/>
          <w:noProof/>
        </w:rPr>
        <w:t xml:space="preserve">(3), 281-298. </w:t>
      </w:r>
      <w:bookmarkEnd w:id="51"/>
    </w:p>
    <w:p w:rsidR="00B77B2A" w:rsidRPr="00B77B2A" w:rsidRDefault="00B77B2A" w:rsidP="00B77B2A">
      <w:pPr>
        <w:spacing w:before="240"/>
        <w:ind w:left="720" w:hanging="720"/>
        <w:rPr>
          <w:rFonts w:cs="Arial"/>
          <w:noProof/>
        </w:rPr>
      </w:pPr>
      <w:bookmarkStart w:id="52" w:name="_ENREF_25"/>
      <w:r w:rsidRPr="00B77B2A">
        <w:rPr>
          <w:rFonts w:cs="Arial"/>
          <w:noProof/>
        </w:rPr>
        <w:t>Queensland Government. (2012). Travel in south-east Queensland. Australia: Queensland.</w:t>
      </w:r>
      <w:bookmarkEnd w:id="52"/>
    </w:p>
    <w:p w:rsidR="00B77B2A" w:rsidRPr="00B77B2A" w:rsidRDefault="00B77B2A" w:rsidP="00B77B2A">
      <w:pPr>
        <w:spacing w:before="240"/>
        <w:ind w:left="720" w:hanging="720"/>
        <w:rPr>
          <w:rFonts w:cs="Arial"/>
          <w:noProof/>
        </w:rPr>
      </w:pPr>
      <w:bookmarkStart w:id="53" w:name="_ENREF_26"/>
      <w:r w:rsidRPr="00B77B2A">
        <w:rPr>
          <w:rFonts w:cs="Arial"/>
          <w:noProof/>
        </w:rPr>
        <w:t>Queensland Government. (2016). TransLink tracker January-March 2016 Q3 (pp. 4). Australia: Department of Transport and Main Roads.</w:t>
      </w:r>
      <w:bookmarkEnd w:id="53"/>
    </w:p>
    <w:p w:rsidR="00B77B2A" w:rsidRPr="00B77B2A" w:rsidRDefault="00B77B2A" w:rsidP="00B77B2A">
      <w:pPr>
        <w:spacing w:before="240"/>
        <w:ind w:left="720" w:hanging="720"/>
        <w:rPr>
          <w:rFonts w:cs="Arial"/>
          <w:noProof/>
        </w:rPr>
      </w:pPr>
      <w:bookmarkStart w:id="54" w:name="_ENREF_27"/>
      <w:r w:rsidRPr="00B77B2A">
        <w:rPr>
          <w:rFonts w:cs="Arial"/>
          <w:noProof/>
        </w:rPr>
        <w:t xml:space="preserve">Sarstedt, M. and Mooi, E. (2011). Cluster Analysis. In M. Sarstedt and E. Mooi (Eds.), </w:t>
      </w:r>
      <w:r w:rsidRPr="00B77B2A">
        <w:rPr>
          <w:rFonts w:cs="Arial"/>
          <w:i/>
          <w:noProof/>
        </w:rPr>
        <w:t>A concise guide to market research: The process, data, and methods using IBM SPSS statistics</w:t>
      </w:r>
      <w:r w:rsidRPr="00B77B2A">
        <w:rPr>
          <w:rFonts w:cs="Arial"/>
          <w:noProof/>
        </w:rPr>
        <w:t xml:space="preserve"> (pp. 273-324). Berlin, Heidelberg: Springer Berlin Heidelberg.</w:t>
      </w:r>
      <w:bookmarkEnd w:id="54"/>
    </w:p>
    <w:p w:rsidR="00B77B2A" w:rsidRPr="00B77B2A" w:rsidRDefault="00B77B2A" w:rsidP="00B77B2A">
      <w:pPr>
        <w:spacing w:before="240"/>
        <w:ind w:left="720" w:hanging="720"/>
        <w:rPr>
          <w:rFonts w:cs="Arial"/>
          <w:noProof/>
        </w:rPr>
      </w:pPr>
      <w:bookmarkStart w:id="55" w:name="_ENREF_28"/>
      <w:r w:rsidRPr="00B77B2A">
        <w:rPr>
          <w:rFonts w:cs="Arial"/>
          <w:noProof/>
        </w:rPr>
        <w:t xml:space="preserve">Sharaby, N. and Shiftan, Y. (2012). The impact of fare integration on travel behavior and transit ridership. </w:t>
      </w:r>
      <w:r w:rsidRPr="00B77B2A">
        <w:rPr>
          <w:rFonts w:cs="Arial"/>
          <w:i/>
          <w:noProof/>
        </w:rPr>
        <w:t>Transport Policy, 21</w:t>
      </w:r>
      <w:r w:rsidRPr="00B77B2A">
        <w:rPr>
          <w:rFonts w:cs="Arial"/>
          <w:noProof/>
        </w:rPr>
        <w:t>, 63-70. doi: 10.1016/j.tranpol.2012.01.015</w:t>
      </w:r>
      <w:bookmarkEnd w:id="55"/>
    </w:p>
    <w:p w:rsidR="00B77B2A" w:rsidRPr="00B77B2A" w:rsidRDefault="00B77B2A" w:rsidP="00B77B2A">
      <w:pPr>
        <w:spacing w:before="240"/>
        <w:ind w:left="720" w:hanging="720"/>
        <w:rPr>
          <w:rFonts w:cs="Arial"/>
          <w:noProof/>
        </w:rPr>
      </w:pPr>
      <w:bookmarkStart w:id="56" w:name="_ENREF_29"/>
      <w:r w:rsidRPr="00B77B2A">
        <w:rPr>
          <w:rFonts w:cs="Arial"/>
          <w:noProof/>
        </w:rPr>
        <w:t xml:space="preserve">Thompson, G. L. (1977). Planning considerations for alternative transit route structures. </w:t>
      </w:r>
      <w:r w:rsidRPr="00B77B2A">
        <w:rPr>
          <w:rFonts w:cs="Arial"/>
          <w:i/>
          <w:noProof/>
        </w:rPr>
        <w:t>Journal of the American Institute of Planners, 43</w:t>
      </w:r>
      <w:r w:rsidRPr="00B77B2A">
        <w:rPr>
          <w:rFonts w:cs="Arial"/>
          <w:noProof/>
        </w:rPr>
        <w:t>(2), 158-168. doi: 10.1080/01944367708977773</w:t>
      </w:r>
      <w:bookmarkEnd w:id="56"/>
    </w:p>
    <w:p w:rsidR="00B77B2A" w:rsidRPr="00B77B2A" w:rsidRDefault="00B77B2A" w:rsidP="00B77B2A">
      <w:pPr>
        <w:spacing w:before="240"/>
        <w:ind w:left="720" w:hanging="720"/>
        <w:rPr>
          <w:rFonts w:cs="Arial"/>
          <w:noProof/>
        </w:rPr>
      </w:pPr>
      <w:bookmarkStart w:id="57" w:name="_ENREF_30"/>
      <w:r w:rsidRPr="00B77B2A">
        <w:rPr>
          <w:rFonts w:cs="Arial"/>
          <w:noProof/>
        </w:rPr>
        <w:t xml:space="preserve">Thompson, G. L. and Matoff, T. G. (2003). Keeping up with the joneses: Radial vs. multidestinational transit in decentralizing regions. </w:t>
      </w:r>
      <w:r w:rsidRPr="00B77B2A">
        <w:rPr>
          <w:rFonts w:cs="Arial"/>
          <w:i/>
          <w:noProof/>
        </w:rPr>
        <w:t>Journal of the American Planning Association, 69</w:t>
      </w:r>
      <w:r w:rsidRPr="00B77B2A">
        <w:rPr>
          <w:rFonts w:cs="Arial"/>
          <w:noProof/>
        </w:rPr>
        <w:t>(3), 296-312. doi: 10.1080/01944360308978021</w:t>
      </w:r>
      <w:bookmarkEnd w:id="57"/>
    </w:p>
    <w:p w:rsidR="00B77B2A" w:rsidRPr="00B77B2A" w:rsidRDefault="00B77B2A" w:rsidP="00B77B2A">
      <w:pPr>
        <w:spacing w:before="240"/>
        <w:ind w:left="720" w:hanging="720"/>
        <w:rPr>
          <w:rFonts w:cs="Arial"/>
          <w:noProof/>
        </w:rPr>
      </w:pPr>
      <w:bookmarkStart w:id="58" w:name="_ENREF_31"/>
      <w:r w:rsidRPr="00B77B2A">
        <w:rPr>
          <w:rFonts w:cs="Arial"/>
          <w:noProof/>
        </w:rPr>
        <w:t xml:space="preserve">Vande Walle, S. and Steenberghen, T. (2006). Space and time related determinants of public transport use in trip chains. </w:t>
      </w:r>
      <w:r w:rsidRPr="00B77B2A">
        <w:rPr>
          <w:rFonts w:cs="Arial"/>
          <w:i/>
          <w:noProof/>
        </w:rPr>
        <w:t>Transportation Research Part A: Policy and Practice, 40</w:t>
      </w:r>
      <w:r w:rsidRPr="00B77B2A">
        <w:rPr>
          <w:rFonts w:cs="Arial"/>
          <w:noProof/>
        </w:rPr>
        <w:t>(2), 151-162. doi: 10.1016/j.tra.2005.05.001</w:t>
      </w:r>
      <w:bookmarkEnd w:id="58"/>
    </w:p>
    <w:p w:rsidR="00B77B2A" w:rsidRPr="00B77B2A" w:rsidRDefault="00B77B2A" w:rsidP="00B77B2A">
      <w:pPr>
        <w:spacing w:before="240"/>
        <w:ind w:left="720" w:hanging="720"/>
        <w:rPr>
          <w:rFonts w:cs="Arial"/>
          <w:noProof/>
        </w:rPr>
      </w:pPr>
      <w:bookmarkStart w:id="59" w:name="_ENREF_32"/>
      <w:r w:rsidRPr="00B77B2A">
        <w:rPr>
          <w:rFonts w:cs="Arial"/>
          <w:noProof/>
        </w:rPr>
        <w:t xml:space="preserve">Ward, J. H. (1963). Hierarchical grouping to optimize an objective function. </w:t>
      </w:r>
      <w:r w:rsidRPr="00B77B2A">
        <w:rPr>
          <w:rFonts w:cs="Arial"/>
          <w:i/>
          <w:noProof/>
        </w:rPr>
        <w:t>Journal of the American Statistical Association, 58</w:t>
      </w:r>
      <w:r w:rsidRPr="00B77B2A">
        <w:rPr>
          <w:rFonts w:cs="Arial"/>
          <w:noProof/>
        </w:rPr>
        <w:t>(301), 236-244. doi: 10.2307/2282967</w:t>
      </w:r>
      <w:bookmarkEnd w:id="59"/>
    </w:p>
    <w:p w:rsidR="00B77B2A" w:rsidRPr="00B77B2A" w:rsidRDefault="00B77B2A" w:rsidP="00B77B2A">
      <w:pPr>
        <w:spacing w:before="240"/>
        <w:ind w:left="720" w:hanging="720"/>
        <w:rPr>
          <w:rFonts w:cs="Arial"/>
          <w:noProof/>
        </w:rPr>
      </w:pPr>
      <w:bookmarkStart w:id="60" w:name="_ENREF_33"/>
      <w:r w:rsidRPr="00B77B2A">
        <w:rPr>
          <w:rFonts w:cs="Arial"/>
          <w:noProof/>
        </w:rPr>
        <w:t>Wardman, M., Hine, J. and Stradling, S. (2001). Interchange and travel choice (Vol. 1): Scottish Execuive Central Research Unit.</w:t>
      </w:r>
      <w:bookmarkEnd w:id="60"/>
    </w:p>
    <w:p w:rsidR="00B77B2A" w:rsidRPr="00B77B2A" w:rsidRDefault="00B77B2A" w:rsidP="00B77B2A">
      <w:pPr>
        <w:spacing w:before="240"/>
        <w:ind w:left="720" w:hanging="720"/>
        <w:rPr>
          <w:rFonts w:ascii="Calibri" w:hAnsi="Calibri" w:cs="Arial"/>
          <w:noProof/>
        </w:rPr>
      </w:pPr>
      <w:bookmarkStart w:id="61" w:name="_ENREF_34"/>
      <w:r w:rsidRPr="00B77B2A">
        <w:rPr>
          <w:rFonts w:cs="Arial"/>
          <w:noProof/>
        </w:rPr>
        <w:t xml:space="preserve">Weinstein Agrawal, A., Schlossberg, M. and Irvin, K. (2008). How far, by which route and why? A spatial analysis of pedestrian preference. </w:t>
      </w:r>
      <w:r w:rsidRPr="00B77B2A">
        <w:rPr>
          <w:rFonts w:cs="Arial"/>
          <w:i/>
          <w:noProof/>
        </w:rPr>
        <w:t>Journal of Urban Design, 13</w:t>
      </w:r>
      <w:r w:rsidRPr="00B77B2A">
        <w:rPr>
          <w:rFonts w:cs="Arial"/>
          <w:noProof/>
        </w:rPr>
        <w:t>(1), 81-98. doi: 10.1080/13574800701804074</w:t>
      </w:r>
      <w:bookmarkEnd w:id="61"/>
    </w:p>
    <w:p w:rsidR="00B77B2A" w:rsidRDefault="00B77B2A" w:rsidP="00B77B2A">
      <w:pPr>
        <w:rPr>
          <w:rFonts w:ascii="Calibri" w:hAnsi="Calibri" w:cs="Arial"/>
          <w:noProof/>
        </w:rPr>
      </w:pPr>
    </w:p>
    <w:p w:rsidR="00600FD1" w:rsidRPr="00446388" w:rsidRDefault="00DD7CC4" w:rsidP="00446388">
      <w:pPr>
        <w:spacing w:after="240"/>
        <w:rPr>
          <w:rFonts w:cs="Arial"/>
        </w:rPr>
      </w:pPr>
      <w:r w:rsidRPr="00446388">
        <w:rPr>
          <w:rFonts w:cs="Arial"/>
        </w:rPr>
        <w:fldChar w:fldCharType="end"/>
      </w:r>
    </w:p>
    <w:sectPr w:rsidR="00600FD1" w:rsidRPr="00446388" w:rsidSect="002E2376">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31DF" w:rsidRDefault="00B531DF" w:rsidP="00B2132E">
      <w:r>
        <w:separator/>
      </w:r>
    </w:p>
  </w:endnote>
  <w:endnote w:type="continuationSeparator" w:id="0">
    <w:p w:rsidR="00B531DF" w:rsidRDefault="00B531DF" w:rsidP="00B213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panose1 w:val="02020404030301010803"/>
    <w:charset w:val="00"/>
    <w:family w:val="roman"/>
    <w:pitch w:val="variable"/>
    <w:sig w:usb0="00000287" w:usb1="00000000" w:usb2="00000000" w:usb3="00000000" w:csb0="0000009F" w:csb1="00000000"/>
  </w:font>
  <w:font w:name="Malgun Gothic">
    <w:altName w:val="맑은 고딕"/>
    <w:panose1 w:val="020B0503020000020004"/>
    <w:charset w:val="81"/>
    <w:family w:val="swiss"/>
    <w:pitch w:val="variable"/>
    <w:sig w:usb0="900002AF" w:usb1="09D77CFB" w:usb2="00000012" w:usb3="00000000" w:csb0="0008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80186847"/>
      <w:docPartObj>
        <w:docPartGallery w:val="Page Numbers (Bottom of Page)"/>
        <w:docPartUnique/>
      </w:docPartObj>
    </w:sdtPr>
    <w:sdtEndPr>
      <w:rPr>
        <w:noProof/>
      </w:rPr>
    </w:sdtEndPr>
    <w:sdtContent>
      <w:p w:rsidR="00B531DF" w:rsidRDefault="00B531DF">
        <w:pPr>
          <w:pStyle w:val="Footer"/>
          <w:jc w:val="right"/>
        </w:pPr>
        <w:r>
          <w:fldChar w:fldCharType="begin"/>
        </w:r>
        <w:r>
          <w:instrText xml:space="preserve"> PAGE   \* MERGEFORMAT </w:instrText>
        </w:r>
        <w:r>
          <w:fldChar w:fldCharType="separate"/>
        </w:r>
        <w:r w:rsidR="00F63A7D">
          <w:rPr>
            <w:noProof/>
          </w:rPr>
          <w:t>2</w:t>
        </w:r>
        <w:r>
          <w:rPr>
            <w:noProof/>
          </w:rPr>
          <w:fldChar w:fldCharType="end"/>
        </w:r>
      </w:p>
    </w:sdtContent>
  </w:sdt>
  <w:p w:rsidR="00B531DF" w:rsidRDefault="00B531D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171411"/>
      <w:docPartObj>
        <w:docPartGallery w:val="Page Numbers (Bottom of Page)"/>
        <w:docPartUnique/>
      </w:docPartObj>
    </w:sdtPr>
    <w:sdtEndPr>
      <w:rPr>
        <w:noProof/>
      </w:rPr>
    </w:sdtEndPr>
    <w:sdtContent>
      <w:p w:rsidR="00B531DF" w:rsidRDefault="00B531DF">
        <w:pPr>
          <w:pStyle w:val="Footer"/>
          <w:jc w:val="right"/>
        </w:pPr>
        <w:r>
          <w:fldChar w:fldCharType="begin"/>
        </w:r>
        <w:r>
          <w:instrText xml:space="preserve"> PAGE   \* MERGEFORMAT </w:instrText>
        </w:r>
        <w:r>
          <w:fldChar w:fldCharType="separate"/>
        </w:r>
        <w:r w:rsidR="00F63A7D">
          <w:rPr>
            <w:noProof/>
          </w:rPr>
          <w:t>3</w:t>
        </w:r>
        <w:r>
          <w:rPr>
            <w:noProof/>
          </w:rPr>
          <w:fldChar w:fldCharType="end"/>
        </w:r>
      </w:p>
    </w:sdtContent>
  </w:sdt>
  <w:p w:rsidR="00B531DF" w:rsidRDefault="00B531DF">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61561342"/>
      <w:docPartObj>
        <w:docPartGallery w:val="Page Numbers (Bottom of Page)"/>
        <w:docPartUnique/>
      </w:docPartObj>
    </w:sdtPr>
    <w:sdtEndPr>
      <w:rPr>
        <w:noProof/>
      </w:rPr>
    </w:sdtEndPr>
    <w:sdtContent>
      <w:p w:rsidR="00B531DF" w:rsidRDefault="00B531DF">
        <w:pPr>
          <w:pStyle w:val="Footer"/>
          <w:jc w:val="right"/>
        </w:pPr>
        <w:r>
          <w:fldChar w:fldCharType="begin"/>
        </w:r>
        <w:r>
          <w:instrText xml:space="preserve"> PAGE   \* MERGEFORMAT </w:instrText>
        </w:r>
        <w:r>
          <w:fldChar w:fldCharType="separate"/>
        </w:r>
        <w:r w:rsidR="00F63A7D">
          <w:rPr>
            <w:noProof/>
          </w:rPr>
          <w:t>1</w:t>
        </w:r>
        <w:r>
          <w:rPr>
            <w:noProof/>
          </w:rPr>
          <w:fldChar w:fldCharType="end"/>
        </w:r>
      </w:p>
    </w:sdtContent>
  </w:sdt>
  <w:p w:rsidR="00B531DF" w:rsidRDefault="00B531D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31DF" w:rsidRDefault="00B531DF" w:rsidP="00B2132E">
      <w:r>
        <w:separator/>
      </w:r>
    </w:p>
  </w:footnote>
  <w:footnote w:type="continuationSeparator" w:id="0">
    <w:p w:rsidR="00B531DF" w:rsidRDefault="00B531DF" w:rsidP="00B2132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1DF" w:rsidRDefault="00B531DF" w:rsidP="002E2376">
    <w:pPr>
      <w:pStyle w:val="Header"/>
      <w:jc w:val="center"/>
      <w:rPr>
        <w:sz w:val="20"/>
        <w:szCs w:val="20"/>
      </w:rPr>
    </w:pPr>
    <w:r w:rsidRPr="002E2376">
      <w:rPr>
        <w:sz w:val="20"/>
        <w:szCs w:val="20"/>
      </w:rPr>
      <w:t>ATRF 2016 Proceedings</w:t>
    </w:r>
  </w:p>
  <w:p w:rsidR="00B531DF" w:rsidRPr="002E2376" w:rsidRDefault="00B531DF" w:rsidP="002E2376">
    <w:pPr>
      <w:pStyle w:val="Header"/>
      <w:jc w:val="center"/>
      <w:rPr>
        <w:sz w:val="20"/>
        <w:szCs w:val="20"/>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1DF" w:rsidRPr="002E2376" w:rsidRDefault="00B531DF" w:rsidP="002E2376">
    <w:pPr>
      <w:pStyle w:val="AuthorName"/>
      <w:spacing w:after="0"/>
      <w:rPr>
        <w:rFonts w:cs="Arial"/>
        <w:sz w:val="20"/>
        <w:szCs w:val="20"/>
      </w:rPr>
    </w:pPr>
    <w:r w:rsidRPr="002E2376">
      <w:rPr>
        <w:rFonts w:cs="Arial"/>
        <w:sz w:val="20"/>
        <w:szCs w:val="20"/>
      </w:rPr>
      <w:t>Cognitive Mapping of Transfer: A New Approach to Understand Transfer Behaviour</w:t>
    </w:r>
  </w:p>
  <w:p w:rsidR="00B531DF" w:rsidRDefault="00B531DF" w:rsidP="00B2132E">
    <w:pPr>
      <w:pStyle w:val="Headersty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31DF" w:rsidRPr="002E2376" w:rsidRDefault="00B531DF" w:rsidP="002E2376">
    <w:pPr>
      <w:pStyle w:val="Headerstyle"/>
    </w:pPr>
    <w:r w:rsidRPr="002E2376">
      <w:t>Australasian Transport Research Forum 2016 Proceedings</w:t>
    </w:r>
  </w:p>
  <w:p w:rsidR="00B531DF" w:rsidRPr="002E2376" w:rsidRDefault="00B531DF" w:rsidP="002E2376">
    <w:pPr>
      <w:pStyle w:val="Headerstyle"/>
    </w:pPr>
    <w:r w:rsidRPr="002E2376">
      <w:t>16-18 November 2016, Melbourne, Australia</w:t>
    </w:r>
  </w:p>
  <w:p w:rsidR="00B531DF" w:rsidRPr="002E2376" w:rsidRDefault="00B531DF" w:rsidP="002E2376">
    <w:pPr>
      <w:pStyle w:val="Headerstyle"/>
    </w:pPr>
    <w:r w:rsidRPr="002E2376">
      <w:t>Publication website: http://www.atrf.info/papers/index.aspx</w:t>
    </w:r>
  </w:p>
  <w:p w:rsidR="00B531DF" w:rsidRPr="002E2376" w:rsidRDefault="00B531DF">
    <w:pPr>
      <w:pStyle w:val="Header"/>
      <w:rPr>
        <w:sz w:val="20"/>
        <w:szCs w:val="2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554DD"/>
    <w:multiLevelType w:val="hybridMultilevel"/>
    <w:tmpl w:val="F648E618"/>
    <w:lvl w:ilvl="0" w:tplc="99F274B6">
      <w:numFmt w:val="bullet"/>
      <w:lvlText w:val="-"/>
      <w:lvlJc w:val="left"/>
      <w:pPr>
        <w:ind w:left="720" w:hanging="360"/>
      </w:pPr>
      <w:rPr>
        <w:rFonts w:ascii="Garamond" w:eastAsiaTheme="minorEastAsia" w:hAnsi="Garamond"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B085625"/>
    <w:multiLevelType w:val="multilevel"/>
    <w:tmpl w:val="C49E56B8"/>
    <w:lvl w:ilvl="0">
      <w:start w:val="1"/>
      <w:numFmt w:val="decimal"/>
      <w:lvlText w:val="%1.0"/>
      <w:lvlJc w:val="left"/>
      <w:pPr>
        <w:ind w:left="360" w:hanging="360"/>
      </w:pPr>
      <w:rPr>
        <w:rFonts w:hint="default"/>
      </w:rPr>
    </w:lvl>
    <w:lvl w:ilvl="1">
      <w:start w:val="1"/>
      <w:numFmt w:val="decimal"/>
      <w:isLgl/>
      <w:lvlText w:val="%1.%2"/>
      <w:lvlJc w:val="left"/>
      <w:pPr>
        <w:ind w:left="405" w:hanging="405"/>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defaultTabStop w:val="720"/>
  <w:evenAndOddHeaders/>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_Jason&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wt5p2v0d1pes9fetednxdse65xefzpvzzxvf&quot;&gt;jason_thesis&lt;record-ids&gt;&lt;item&gt;15&lt;/item&gt;&lt;item&gt;18&lt;/item&gt;&lt;item&gt;45&lt;/item&gt;&lt;item&gt;83&lt;/item&gt;&lt;item&gt;90&lt;/item&gt;&lt;item&gt;116&lt;/item&gt;&lt;item&gt;124&lt;/item&gt;&lt;item&gt;130&lt;/item&gt;&lt;item&gt;131&lt;/item&gt;&lt;item&gt;158&lt;/item&gt;&lt;item&gt;178&lt;/item&gt;&lt;item&gt;179&lt;/item&gt;&lt;item&gt;187&lt;/item&gt;&lt;item&gt;188&lt;/item&gt;&lt;item&gt;190&lt;/item&gt;&lt;item&gt;193&lt;/item&gt;&lt;item&gt;194&lt;/item&gt;&lt;item&gt;195&lt;/item&gt;&lt;item&gt;196&lt;/item&gt;&lt;item&gt;197&lt;/item&gt;&lt;item&gt;198&lt;/item&gt;&lt;item&gt;199&lt;/item&gt;&lt;item&gt;200&lt;/item&gt;&lt;item&gt;201&lt;/item&gt;&lt;item&gt;202&lt;/item&gt;&lt;item&gt;203&lt;/item&gt;&lt;item&gt;204&lt;/item&gt;&lt;item&gt;209&lt;/item&gt;&lt;item&gt;211&lt;/item&gt;&lt;item&gt;218&lt;/item&gt;&lt;item&gt;219&lt;/item&gt;&lt;item&gt;224&lt;/item&gt;&lt;item&gt;235&lt;/item&gt;&lt;item&gt;240&lt;/item&gt;&lt;/record-ids&gt;&lt;/item&gt;&lt;/Libraries&gt;"/>
  </w:docVars>
  <w:rsids>
    <w:rsidRoot w:val="00916C1E"/>
    <w:rsid w:val="000952DE"/>
    <w:rsid w:val="000B15B4"/>
    <w:rsid w:val="000C588E"/>
    <w:rsid w:val="0014151D"/>
    <w:rsid w:val="001567F3"/>
    <w:rsid w:val="00194CD2"/>
    <w:rsid w:val="001A1152"/>
    <w:rsid w:val="001A36E1"/>
    <w:rsid w:val="001A4E7B"/>
    <w:rsid w:val="00220A04"/>
    <w:rsid w:val="00221720"/>
    <w:rsid w:val="0024568E"/>
    <w:rsid w:val="00260C03"/>
    <w:rsid w:val="002B1397"/>
    <w:rsid w:val="002D1E7E"/>
    <w:rsid w:val="002E11CC"/>
    <w:rsid w:val="002E2376"/>
    <w:rsid w:val="002E73F5"/>
    <w:rsid w:val="003006C9"/>
    <w:rsid w:val="00313C0B"/>
    <w:rsid w:val="00317765"/>
    <w:rsid w:val="00386530"/>
    <w:rsid w:val="00386BB5"/>
    <w:rsid w:val="00430296"/>
    <w:rsid w:val="00446388"/>
    <w:rsid w:val="0045783B"/>
    <w:rsid w:val="00460868"/>
    <w:rsid w:val="00480B22"/>
    <w:rsid w:val="0048264D"/>
    <w:rsid w:val="00483E7A"/>
    <w:rsid w:val="004A38D7"/>
    <w:rsid w:val="004B0AA2"/>
    <w:rsid w:val="004E6ED1"/>
    <w:rsid w:val="00506675"/>
    <w:rsid w:val="00517E05"/>
    <w:rsid w:val="00543D63"/>
    <w:rsid w:val="005E6D2A"/>
    <w:rsid w:val="00600FD1"/>
    <w:rsid w:val="006111EC"/>
    <w:rsid w:val="00613C8D"/>
    <w:rsid w:val="00631A58"/>
    <w:rsid w:val="00667321"/>
    <w:rsid w:val="006A540B"/>
    <w:rsid w:val="00711D81"/>
    <w:rsid w:val="007B54A4"/>
    <w:rsid w:val="007C3424"/>
    <w:rsid w:val="007E5792"/>
    <w:rsid w:val="007F122B"/>
    <w:rsid w:val="0080094C"/>
    <w:rsid w:val="00886A49"/>
    <w:rsid w:val="008C5AB4"/>
    <w:rsid w:val="00905736"/>
    <w:rsid w:val="0091197D"/>
    <w:rsid w:val="00916C1E"/>
    <w:rsid w:val="00920926"/>
    <w:rsid w:val="009B6369"/>
    <w:rsid w:val="009C4552"/>
    <w:rsid w:val="00A26B3D"/>
    <w:rsid w:val="00A26E2B"/>
    <w:rsid w:val="00A661DF"/>
    <w:rsid w:val="00A677AC"/>
    <w:rsid w:val="00A85C67"/>
    <w:rsid w:val="00AA5F14"/>
    <w:rsid w:val="00AC7A43"/>
    <w:rsid w:val="00AD68E2"/>
    <w:rsid w:val="00AE7B6F"/>
    <w:rsid w:val="00B2132E"/>
    <w:rsid w:val="00B22A59"/>
    <w:rsid w:val="00B408D4"/>
    <w:rsid w:val="00B453F1"/>
    <w:rsid w:val="00B531DF"/>
    <w:rsid w:val="00B77B2A"/>
    <w:rsid w:val="00C05957"/>
    <w:rsid w:val="00C05AC8"/>
    <w:rsid w:val="00C7125D"/>
    <w:rsid w:val="00C77C54"/>
    <w:rsid w:val="00CF5DC8"/>
    <w:rsid w:val="00DC2FC9"/>
    <w:rsid w:val="00DD7CC4"/>
    <w:rsid w:val="00E81A45"/>
    <w:rsid w:val="00EB0265"/>
    <w:rsid w:val="00EE41A4"/>
    <w:rsid w:val="00EF05D4"/>
    <w:rsid w:val="00F4270F"/>
    <w:rsid w:val="00F63A7D"/>
    <w:rsid w:val="00F8521B"/>
    <w:rsid w:val="00FE13F7"/>
    <w:rsid w:val="00FE18F7"/>
  </w:rsids>
  <m:mathPr>
    <m:mathFont m:val="Cambria Math"/>
    <m:brkBin m:val="before"/>
    <m:brkBinSub m:val="--"/>
    <m:smallFrac m:val="0"/>
    <m:dispDef/>
    <m:lMargin m:val="0"/>
    <m:rMargin m:val="0"/>
    <m:defJc m:val="centerGroup"/>
    <m:wrapIndent m:val="1440"/>
    <m:intLim m:val="subSup"/>
    <m:naryLim m:val="undOvr"/>
  </m:mathPr>
  <w:themeFontLang w:val="en-AU" w:eastAsia="ko-K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1A58"/>
    <w:pPr>
      <w:spacing w:after="0" w:line="240" w:lineRule="auto"/>
      <w:jc w:val="both"/>
    </w:pPr>
    <w:rPr>
      <w:rFonts w:ascii="Arial" w:hAnsi="Arial"/>
    </w:rPr>
  </w:style>
  <w:style w:type="paragraph" w:styleId="Heading1">
    <w:name w:val="heading 1"/>
    <w:basedOn w:val="Normal"/>
    <w:next w:val="Normal"/>
    <w:link w:val="Heading1Char"/>
    <w:uiPriority w:val="9"/>
    <w:qFormat/>
    <w:rsid w:val="00313C0B"/>
    <w:pPr>
      <w:keepNext/>
      <w:keepLines/>
      <w:outlineLvl w:val="0"/>
    </w:pPr>
    <w:rPr>
      <w:rFonts w:eastAsiaTheme="majorEastAsia" w:cstheme="majorBidi"/>
      <w:b/>
      <w:bCs/>
      <w:sz w:val="32"/>
      <w:szCs w:val="28"/>
      <w:lang w:eastAsia="ko-KR"/>
    </w:rPr>
  </w:style>
  <w:style w:type="paragraph" w:styleId="Heading2">
    <w:name w:val="heading 2"/>
    <w:basedOn w:val="Normal"/>
    <w:next w:val="Normal"/>
    <w:link w:val="Heading2Char"/>
    <w:uiPriority w:val="9"/>
    <w:unhideWhenUsed/>
    <w:qFormat/>
    <w:rsid w:val="00FE13F7"/>
    <w:pPr>
      <w:keepNext/>
      <w:keepLines/>
      <w:outlineLvl w:val="1"/>
    </w:pPr>
    <w:rPr>
      <w:rFonts w:eastAsiaTheme="majorEastAsia" w:cstheme="majorBidi"/>
      <w:b/>
      <w:b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3C0B"/>
    <w:rPr>
      <w:rFonts w:ascii="Arial" w:eastAsiaTheme="majorEastAsia" w:hAnsi="Arial" w:cstheme="majorBidi"/>
      <w:b/>
      <w:bCs/>
      <w:sz w:val="32"/>
      <w:szCs w:val="28"/>
      <w:lang w:eastAsia="ko-KR"/>
    </w:rPr>
  </w:style>
  <w:style w:type="paragraph" w:customStyle="1" w:styleId="AuthorName">
    <w:name w:val="Author Name"/>
    <w:basedOn w:val="Normal"/>
    <w:next w:val="AuthorAddress"/>
    <w:link w:val="AuthorNameChar"/>
    <w:qFormat/>
    <w:rsid w:val="00B2132E"/>
    <w:pPr>
      <w:spacing w:after="140"/>
      <w:jc w:val="center"/>
    </w:pPr>
    <w:rPr>
      <w:rFonts w:eastAsia="Calibri" w:cs="Times New Roman"/>
      <w:szCs w:val="24"/>
      <w:lang w:eastAsia="en-AU"/>
    </w:rPr>
  </w:style>
  <w:style w:type="character" w:customStyle="1" w:styleId="AuthorNameChar">
    <w:name w:val="Author Name Char"/>
    <w:basedOn w:val="DefaultParagraphFont"/>
    <w:link w:val="AuthorName"/>
    <w:rsid w:val="00B2132E"/>
    <w:rPr>
      <w:rFonts w:ascii="Arial" w:eastAsia="Calibri" w:hAnsi="Arial" w:cs="Times New Roman"/>
      <w:szCs w:val="24"/>
      <w:lang w:eastAsia="en-AU"/>
    </w:rPr>
  </w:style>
  <w:style w:type="paragraph" w:customStyle="1" w:styleId="AuthorAddress">
    <w:name w:val="Author Address"/>
    <w:basedOn w:val="Normal"/>
    <w:link w:val="AuthorAddressChar"/>
    <w:qFormat/>
    <w:rsid w:val="00B2132E"/>
    <w:pPr>
      <w:spacing w:after="140"/>
      <w:jc w:val="center"/>
    </w:pPr>
    <w:rPr>
      <w:rFonts w:eastAsia="Calibri" w:cs="Times New Roman"/>
      <w:sz w:val="20"/>
      <w:szCs w:val="20"/>
      <w:lang w:eastAsia="en-AU"/>
    </w:rPr>
  </w:style>
  <w:style w:type="character" w:customStyle="1" w:styleId="AuthorAddressChar">
    <w:name w:val="Author Address Char"/>
    <w:basedOn w:val="DefaultParagraphFont"/>
    <w:link w:val="AuthorAddress"/>
    <w:rsid w:val="00B2132E"/>
    <w:rPr>
      <w:rFonts w:ascii="Arial" w:eastAsia="Calibri" w:hAnsi="Arial" w:cs="Times New Roman"/>
      <w:sz w:val="20"/>
      <w:szCs w:val="20"/>
      <w:lang w:eastAsia="en-AU"/>
    </w:rPr>
  </w:style>
  <w:style w:type="paragraph" w:styleId="Header">
    <w:name w:val="header"/>
    <w:basedOn w:val="Normal"/>
    <w:link w:val="HeaderChar"/>
    <w:uiPriority w:val="99"/>
    <w:unhideWhenUsed/>
    <w:rsid w:val="00B2132E"/>
    <w:pPr>
      <w:tabs>
        <w:tab w:val="center" w:pos="4513"/>
        <w:tab w:val="right" w:pos="9026"/>
      </w:tabs>
    </w:pPr>
  </w:style>
  <w:style w:type="character" w:customStyle="1" w:styleId="HeaderChar">
    <w:name w:val="Header Char"/>
    <w:basedOn w:val="DefaultParagraphFont"/>
    <w:link w:val="Header"/>
    <w:uiPriority w:val="99"/>
    <w:rsid w:val="00B2132E"/>
  </w:style>
  <w:style w:type="paragraph" w:styleId="Footer">
    <w:name w:val="footer"/>
    <w:basedOn w:val="Normal"/>
    <w:link w:val="FooterChar"/>
    <w:uiPriority w:val="99"/>
    <w:unhideWhenUsed/>
    <w:rsid w:val="00B2132E"/>
    <w:pPr>
      <w:tabs>
        <w:tab w:val="center" w:pos="4513"/>
        <w:tab w:val="right" w:pos="9026"/>
      </w:tabs>
    </w:pPr>
  </w:style>
  <w:style w:type="character" w:customStyle="1" w:styleId="FooterChar">
    <w:name w:val="Footer Char"/>
    <w:basedOn w:val="DefaultParagraphFont"/>
    <w:link w:val="Footer"/>
    <w:uiPriority w:val="99"/>
    <w:rsid w:val="00B2132E"/>
  </w:style>
  <w:style w:type="paragraph" w:customStyle="1" w:styleId="Headerstyle">
    <w:name w:val="Header style"/>
    <w:basedOn w:val="Header"/>
    <w:link w:val="HeaderstyleChar"/>
    <w:qFormat/>
    <w:rsid w:val="00B2132E"/>
    <w:pPr>
      <w:jc w:val="center"/>
    </w:pPr>
    <w:rPr>
      <w:rFonts w:eastAsia="Calibri" w:cs="Times New Roman"/>
      <w:sz w:val="20"/>
      <w:szCs w:val="20"/>
      <w:lang w:eastAsia="en-AU"/>
    </w:rPr>
  </w:style>
  <w:style w:type="character" w:customStyle="1" w:styleId="HeaderstyleChar">
    <w:name w:val="Header style Char"/>
    <w:basedOn w:val="HeaderChar"/>
    <w:link w:val="Headerstyle"/>
    <w:rsid w:val="00B2132E"/>
    <w:rPr>
      <w:rFonts w:ascii="Arial" w:eastAsia="Calibri" w:hAnsi="Arial" w:cs="Times New Roman"/>
      <w:sz w:val="20"/>
      <w:szCs w:val="20"/>
      <w:lang w:eastAsia="en-AU"/>
    </w:rPr>
  </w:style>
  <w:style w:type="paragraph" w:styleId="ListParagraph">
    <w:name w:val="List Paragraph"/>
    <w:basedOn w:val="Normal"/>
    <w:uiPriority w:val="34"/>
    <w:qFormat/>
    <w:rsid w:val="000952DE"/>
    <w:pPr>
      <w:ind w:left="720"/>
      <w:contextualSpacing/>
    </w:pPr>
  </w:style>
  <w:style w:type="character" w:styleId="Hyperlink">
    <w:name w:val="Hyperlink"/>
    <w:basedOn w:val="DefaultParagraphFont"/>
    <w:uiPriority w:val="99"/>
    <w:unhideWhenUsed/>
    <w:rsid w:val="00DD7CC4"/>
    <w:rPr>
      <w:color w:val="0000FF" w:themeColor="hyperlink"/>
      <w:u w:val="single"/>
    </w:rPr>
  </w:style>
  <w:style w:type="character" w:customStyle="1" w:styleId="Heading2Char">
    <w:name w:val="Heading 2 Char"/>
    <w:basedOn w:val="DefaultParagraphFont"/>
    <w:link w:val="Heading2"/>
    <w:uiPriority w:val="9"/>
    <w:rsid w:val="00FE13F7"/>
    <w:rPr>
      <w:rFonts w:ascii="Arial" w:eastAsiaTheme="majorEastAsia" w:hAnsi="Arial" w:cstheme="majorBidi"/>
      <w:b/>
      <w:bCs/>
      <w:sz w:val="28"/>
      <w:szCs w:val="26"/>
    </w:rPr>
  </w:style>
  <w:style w:type="table" w:styleId="TableGrid">
    <w:name w:val="Table Grid"/>
    <w:basedOn w:val="TableNormal"/>
    <w:uiPriority w:val="59"/>
    <w:rsid w:val="00313C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13C0B"/>
    <w:rPr>
      <w:rFonts w:ascii="Tahoma" w:hAnsi="Tahoma" w:cs="Tahoma"/>
      <w:sz w:val="16"/>
      <w:szCs w:val="16"/>
    </w:rPr>
  </w:style>
  <w:style w:type="character" w:customStyle="1" w:styleId="BalloonTextChar">
    <w:name w:val="Balloon Text Char"/>
    <w:basedOn w:val="DefaultParagraphFont"/>
    <w:link w:val="BalloonText"/>
    <w:uiPriority w:val="99"/>
    <w:semiHidden/>
    <w:rsid w:val="00313C0B"/>
    <w:rPr>
      <w:rFonts w:ascii="Tahoma" w:hAnsi="Tahoma" w:cs="Tahoma"/>
      <w:sz w:val="16"/>
      <w:szCs w:val="16"/>
    </w:rPr>
  </w:style>
  <w:style w:type="paragraph" w:customStyle="1" w:styleId="Captions">
    <w:name w:val="Captions"/>
    <w:basedOn w:val="Normal"/>
    <w:link w:val="CaptionsChar"/>
    <w:qFormat/>
    <w:rsid w:val="00FE13F7"/>
    <w:rPr>
      <w:rFonts w:cs="Arial"/>
      <w:b/>
      <w:sz w:val="20"/>
      <w:szCs w:val="20"/>
    </w:rPr>
  </w:style>
  <w:style w:type="character" w:customStyle="1" w:styleId="CaptionsChar">
    <w:name w:val="Captions Char"/>
    <w:basedOn w:val="DefaultParagraphFont"/>
    <w:link w:val="Captions"/>
    <w:rsid w:val="00FE13F7"/>
    <w:rPr>
      <w:rFonts w:ascii="Arial" w:hAnsi="Arial" w:cs="Arial"/>
      <w:b/>
      <w:sz w:val="20"/>
      <w:szCs w:val="20"/>
    </w:rPr>
  </w:style>
  <w:style w:type="paragraph" w:styleId="Caption">
    <w:name w:val="caption"/>
    <w:basedOn w:val="Normal"/>
    <w:next w:val="Normal"/>
    <w:uiPriority w:val="35"/>
    <w:unhideWhenUsed/>
    <w:qFormat/>
    <w:rsid w:val="00886A49"/>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31A58"/>
    <w:pPr>
      <w:spacing w:after="0" w:line="240" w:lineRule="auto"/>
      <w:jc w:val="both"/>
    </w:pPr>
    <w:rPr>
      <w:rFonts w:ascii="Arial" w:hAnsi="Arial"/>
    </w:rPr>
  </w:style>
  <w:style w:type="paragraph" w:styleId="Heading1">
    <w:name w:val="heading 1"/>
    <w:basedOn w:val="Normal"/>
    <w:next w:val="Normal"/>
    <w:link w:val="Heading1Char"/>
    <w:uiPriority w:val="9"/>
    <w:qFormat/>
    <w:rsid w:val="00313C0B"/>
    <w:pPr>
      <w:keepNext/>
      <w:keepLines/>
      <w:outlineLvl w:val="0"/>
    </w:pPr>
    <w:rPr>
      <w:rFonts w:eastAsiaTheme="majorEastAsia" w:cstheme="majorBidi"/>
      <w:b/>
      <w:bCs/>
      <w:sz w:val="32"/>
      <w:szCs w:val="28"/>
      <w:lang w:eastAsia="ko-KR"/>
    </w:rPr>
  </w:style>
  <w:style w:type="paragraph" w:styleId="Heading2">
    <w:name w:val="heading 2"/>
    <w:basedOn w:val="Normal"/>
    <w:next w:val="Normal"/>
    <w:link w:val="Heading2Char"/>
    <w:uiPriority w:val="9"/>
    <w:unhideWhenUsed/>
    <w:qFormat/>
    <w:rsid w:val="00FE13F7"/>
    <w:pPr>
      <w:keepNext/>
      <w:keepLines/>
      <w:outlineLvl w:val="1"/>
    </w:pPr>
    <w:rPr>
      <w:rFonts w:eastAsiaTheme="majorEastAsia" w:cstheme="majorBidi"/>
      <w:b/>
      <w:bCs/>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13C0B"/>
    <w:rPr>
      <w:rFonts w:ascii="Arial" w:eastAsiaTheme="majorEastAsia" w:hAnsi="Arial" w:cstheme="majorBidi"/>
      <w:b/>
      <w:bCs/>
      <w:sz w:val="32"/>
      <w:szCs w:val="28"/>
      <w:lang w:eastAsia="ko-KR"/>
    </w:rPr>
  </w:style>
  <w:style w:type="paragraph" w:customStyle="1" w:styleId="AuthorName">
    <w:name w:val="Author Name"/>
    <w:basedOn w:val="Normal"/>
    <w:next w:val="AuthorAddress"/>
    <w:link w:val="AuthorNameChar"/>
    <w:qFormat/>
    <w:rsid w:val="00B2132E"/>
    <w:pPr>
      <w:spacing w:after="140"/>
      <w:jc w:val="center"/>
    </w:pPr>
    <w:rPr>
      <w:rFonts w:eastAsia="Calibri" w:cs="Times New Roman"/>
      <w:szCs w:val="24"/>
      <w:lang w:eastAsia="en-AU"/>
    </w:rPr>
  </w:style>
  <w:style w:type="character" w:customStyle="1" w:styleId="AuthorNameChar">
    <w:name w:val="Author Name Char"/>
    <w:basedOn w:val="DefaultParagraphFont"/>
    <w:link w:val="AuthorName"/>
    <w:rsid w:val="00B2132E"/>
    <w:rPr>
      <w:rFonts w:ascii="Arial" w:eastAsia="Calibri" w:hAnsi="Arial" w:cs="Times New Roman"/>
      <w:szCs w:val="24"/>
      <w:lang w:eastAsia="en-AU"/>
    </w:rPr>
  </w:style>
  <w:style w:type="paragraph" w:customStyle="1" w:styleId="AuthorAddress">
    <w:name w:val="Author Address"/>
    <w:basedOn w:val="Normal"/>
    <w:link w:val="AuthorAddressChar"/>
    <w:qFormat/>
    <w:rsid w:val="00B2132E"/>
    <w:pPr>
      <w:spacing w:after="140"/>
      <w:jc w:val="center"/>
    </w:pPr>
    <w:rPr>
      <w:rFonts w:eastAsia="Calibri" w:cs="Times New Roman"/>
      <w:sz w:val="20"/>
      <w:szCs w:val="20"/>
      <w:lang w:eastAsia="en-AU"/>
    </w:rPr>
  </w:style>
  <w:style w:type="character" w:customStyle="1" w:styleId="AuthorAddressChar">
    <w:name w:val="Author Address Char"/>
    <w:basedOn w:val="DefaultParagraphFont"/>
    <w:link w:val="AuthorAddress"/>
    <w:rsid w:val="00B2132E"/>
    <w:rPr>
      <w:rFonts w:ascii="Arial" w:eastAsia="Calibri" w:hAnsi="Arial" w:cs="Times New Roman"/>
      <w:sz w:val="20"/>
      <w:szCs w:val="20"/>
      <w:lang w:eastAsia="en-AU"/>
    </w:rPr>
  </w:style>
  <w:style w:type="paragraph" w:styleId="Header">
    <w:name w:val="header"/>
    <w:basedOn w:val="Normal"/>
    <w:link w:val="HeaderChar"/>
    <w:uiPriority w:val="99"/>
    <w:unhideWhenUsed/>
    <w:rsid w:val="00B2132E"/>
    <w:pPr>
      <w:tabs>
        <w:tab w:val="center" w:pos="4513"/>
        <w:tab w:val="right" w:pos="9026"/>
      </w:tabs>
    </w:pPr>
  </w:style>
  <w:style w:type="character" w:customStyle="1" w:styleId="HeaderChar">
    <w:name w:val="Header Char"/>
    <w:basedOn w:val="DefaultParagraphFont"/>
    <w:link w:val="Header"/>
    <w:uiPriority w:val="99"/>
    <w:rsid w:val="00B2132E"/>
  </w:style>
  <w:style w:type="paragraph" w:styleId="Footer">
    <w:name w:val="footer"/>
    <w:basedOn w:val="Normal"/>
    <w:link w:val="FooterChar"/>
    <w:uiPriority w:val="99"/>
    <w:unhideWhenUsed/>
    <w:rsid w:val="00B2132E"/>
    <w:pPr>
      <w:tabs>
        <w:tab w:val="center" w:pos="4513"/>
        <w:tab w:val="right" w:pos="9026"/>
      </w:tabs>
    </w:pPr>
  </w:style>
  <w:style w:type="character" w:customStyle="1" w:styleId="FooterChar">
    <w:name w:val="Footer Char"/>
    <w:basedOn w:val="DefaultParagraphFont"/>
    <w:link w:val="Footer"/>
    <w:uiPriority w:val="99"/>
    <w:rsid w:val="00B2132E"/>
  </w:style>
  <w:style w:type="paragraph" w:customStyle="1" w:styleId="Headerstyle">
    <w:name w:val="Header style"/>
    <w:basedOn w:val="Header"/>
    <w:link w:val="HeaderstyleChar"/>
    <w:qFormat/>
    <w:rsid w:val="00B2132E"/>
    <w:pPr>
      <w:jc w:val="center"/>
    </w:pPr>
    <w:rPr>
      <w:rFonts w:eastAsia="Calibri" w:cs="Times New Roman"/>
      <w:sz w:val="20"/>
      <w:szCs w:val="20"/>
      <w:lang w:eastAsia="en-AU"/>
    </w:rPr>
  </w:style>
  <w:style w:type="character" w:customStyle="1" w:styleId="HeaderstyleChar">
    <w:name w:val="Header style Char"/>
    <w:basedOn w:val="HeaderChar"/>
    <w:link w:val="Headerstyle"/>
    <w:rsid w:val="00B2132E"/>
    <w:rPr>
      <w:rFonts w:ascii="Arial" w:eastAsia="Calibri" w:hAnsi="Arial" w:cs="Times New Roman"/>
      <w:sz w:val="20"/>
      <w:szCs w:val="20"/>
      <w:lang w:eastAsia="en-AU"/>
    </w:rPr>
  </w:style>
  <w:style w:type="paragraph" w:styleId="ListParagraph">
    <w:name w:val="List Paragraph"/>
    <w:basedOn w:val="Normal"/>
    <w:uiPriority w:val="34"/>
    <w:qFormat/>
    <w:rsid w:val="000952DE"/>
    <w:pPr>
      <w:ind w:left="720"/>
      <w:contextualSpacing/>
    </w:pPr>
  </w:style>
  <w:style w:type="character" w:styleId="Hyperlink">
    <w:name w:val="Hyperlink"/>
    <w:basedOn w:val="DefaultParagraphFont"/>
    <w:uiPriority w:val="99"/>
    <w:unhideWhenUsed/>
    <w:rsid w:val="00DD7CC4"/>
    <w:rPr>
      <w:color w:val="0000FF" w:themeColor="hyperlink"/>
      <w:u w:val="single"/>
    </w:rPr>
  </w:style>
  <w:style w:type="character" w:customStyle="1" w:styleId="Heading2Char">
    <w:name w:val="Heading 2 Char"/>
    <w:basedOn w:val="DefaultParagraphFont"/>
    <w:link w:val="Heading2"/>
    <w:uiPriority w:val="9"/>
    <w:rsid w:val="00FE13F7"/>
    <w:rPr>
      <w:rFonts w:ascii="Arial" w:eastAsiaTheme="majorEastAsia" w:hAnsi="Arial" w:cstheme="majorBidi"/>
      <w:b/>
      <w:bCs/>
      <w:sz w:val="28"/>
      <w:szCs w:val="26"/>
    </w:rPr>
  </w:style>
  <w:style w:type="table" w:styleId="TableGrid">
    <w:name w:val="Table Grid"/>
    <w:basedOn w:val="TableNormal"/>
    <w:uiPriority w:val="59"/>
    <w:rsid w:val="00313C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13C0B"/>
    <w:rPr>
      <w:rFonts w:ascii="Tahoma" w:hAnsi="Tahoma" w:cs="Tahoma"/>
      <w:sz w:val="16"/>
      <w:szCs w:val="16"/>
    </w:rPr>
  </w:style>
  <w:style w:type="character" w:customStyle="1" w:styleId="BalloonTextChar">
    <w:name w:val="Balloon Text Char"/>
    <w:basedOn w:val="DefaultParagraphFont"/>
    <w:link w:val="BalloonText"/>
    <w:uiPriority w:val="99"/>
    <w:semiHidden/>
    <w:rsid w:val="00313C0B"/>
    <w:rPr>
      <w:rFonts w:ascii="Tahoma" w:hAnsi="Tahoma" w:cs="Tahoma"/>
      <w:sz w:val="16"/>
      <w:szCs w:val="16"/>
    </w:rPr>
  </w:style>
  <w:style w:type="paragraph" w:customStyle="1" w:styleId="Captions">
    <w:name w:val="Captions"/>
    <w:basedOn w:val="Normal"/>
    <w:link w:val="CaptionsChar"/>
    <w:qFormat/>
    <w:rsid w:val="00FE13F7"/>
    <w:rPr>
      <w:rFonts w:cs="Arial"/>
      <w:b/>
      <w:sz w:val="20"/>
      <w:szCs w:val="20"/>
    </w:rPr>
  </w:style>
  <w:style w:type="character" w:customStyle="1" w:styleId="CaptionsChar">
    <w:name w:val="Captions Char"/>
    <w:basedOn w:val="DefaultParagraphFont"/>
    <w:link w:val="Captions"/>
    <w:rsid w:val="00FE13F7"/>
    <w:rPr>
      <w:rFonts w:ascii="Arial" w:hAnsi="Arial" w:cs="Arial"/>
      <w:b/>
      <w:sz w:val="20"/>
      <w:szCs w:val="20"/>
    </w:rPr>
  </w:style>
  <w:style w:type="paragraph" w:styleId="Caption">
    <w:name w:val="caption"/>
    <w:basedOn w:val="Normal"/>
    <w:next w:val="Normal"/>
    <w:uiPriority w:val="35"/>
    <w:unhideWhenUsed/>
    <w:qFormat/>
    <w:rsid w:val="00886A49"/>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88517671">
      <w:bodyDiv w:val="1"/>
      <w:marLeft w:val="0"/>
      <w:marRight w:val="0"/>
      <w:marTop w:val="0"/>
      <w:marBottom w:val="0"/>
      <w:divBdr>
        <w:top w:val="none" w:sz="0" w:space="0" w:color="auto"/>
        <w:left w:val="none" w:sz="0" w:space="0" w:color="auto"/>
        <w:bottom w:val="none" w:sz="0" w:space="0" w:color="auto"/>
        <w:right w:val="none" w:sz="0" w:space="0" w:color="auto"/>
      </w:divBdr>
    </w:div>
    <w:div w:id="15303383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ADF81E9-EA68-4EF9-A5E3-E90714EFF4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4B050C3E.dotm</Template>
  <TotalTime>250</TotalTime>
  <Pages>17</Pages>
  <Words>13143</Words>
  <Characters>74916</Characters>
  <Application>Microsoft Office Word</Application>
  <DocSecurity>0</DocSecurity>
  <Lines>624</Lines>
  <Paragraphs>175</Paragraphs>
  <ScaleCrop>false</ScaleCrop>
  <HeadingPairs>
    <vt:vector size="4" baseType="variant">
      <vt:variant>
        <vt:lpstr>Title</vt:lpstr>
      </vt:variant>
      <vt:variant>
        <vt:i4>1</vt:i4>
      </vt:variant>
      <vt:variant>
        <vt:lpstr>제목</vt:lpstr>
      </vt:variant>
      <vt:variant>
        <vt:i4>1</vt:i4>
      </vt:variant>
    </vt:vector>
  </HeadingPairs>
  <TitlesOfParts>
    <vt:vector size="2" baseType="lpstr">
      <vt:lpstr/>
      <vt:lpstr/>
    </vt:vector>
  </TitlesOfParts>
  <Company>QUT</Company>
  <LinksUpToDate>false</LinksUpToDate>
  <CharactersWithSpaces>87884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Jason Chin Shin Chia</dc:creator>
  <cp:lastModifiedBy>Jason Chin Shin Chia</cp:lastModifiedBy>
  <cp:revision>12</cp:revision>
  <cp:lastPrinted>2016-05-31T08:11:00Z</cp:lastPrinted>
  <dcterms:created xsi:type="dcterms:W3CDTF">2016-09-26T05:05:00Z</dcterms:created>
  <dcterms:modified xsi:type="dcterms:W3CDTF">2016-09-29T11:45:00Z</dcterms:modified>
</cp:coreProperties>
</file>