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A2" w:rsidRPr="00502AFC" w:rsidRDefault="00090DAC" w:rsidP="001418A2">
      <w:pPr>
        <w:pStyle w:val="PublicationTitle"/>
      </w:pPr>
      <w:bookmarkStart w:id="0" w:name="_GoBack"/>
      <w:bookmarkEnd w:id="0"/>
      <w:r>
        <w:rPr>
          <w:rFonts w:eastAsiaTheme="minorEastAsia"/>
          <w:lang w:eastAsia="zh-CN"/>
        </w:rPr>
        <w:t xml:space="preserve">Calibrating </w:t>
      </w:r>
      <w:r w:rsidRPr="001C25C4">
        <w:rPr>
          <w:rFonts w:eastAsiaTheme="minorEastAsia"/>
          <w:lang w:eastAsia="zh-CN"/>
        </w:rPr>
        <w:t xml:space="preserve">Fundamental Diagram </w:t>
      </w:r>
      <w:r>
        <w:rPr>
          <w:rFonts w:eastAsiaTheme="minorEastAsia"/>
          <w:lang w:eastAsia="zh-CN"/>
        </w:rPr>
        <w:t>based on Two Types of Speed-Density Data</w:t>
      </w:r>
    </w:p>
    <w:p w:rsidR="001418A2" w:rsidRPr="005374AC" w:rsidRDefault="00090DAC" w:rsidP="001418A2">
      <w:pPr>
        <w:pStyle w:val="AuthorName"/>
        <w:rPr>
          <w:vertAlign w:val="superscript"/>
        </w:rPr>
      </w:pPr>
      <w:r w:rsidRPr="00090DAC">
        <w:t>Jin Zhang, Xiaobo Qu</w:t>
      </w:r>
    </w:p>
    <w:p w:rsidR="001418A2" w:rsidRPr="005374AC" w:rsidRDefault="00090DAC" w:rsidP="001418A2">
      <w:pPr>
        <w:pStyle w:val="AuthorAddress"/>
      </w:pPr>
      <w:r w:rsidRPr="00090DAC">
        <w:t>Griffith School of Engineering, Griffith University, Gold Coast, QLD, 4222, Australia.</w:t>
      </w:r>
    </w:p>
    <w:p w:rsidR="001418A2" w:rsidRPr="005F6B9B" w:rsidRDefault="001418A2" w:rsidP="001418A2">
      <w:pPr>
        <w:pStyle w:val="AbstractTitle"/>
      </w:pPr>
      <w:r w:rsidRPr="005F6B9B">
        <w:t>Abstract</w:t>
      </w:r>
    </w:p>
    <w:p w:rsidR="001418A2" w:rsidRPr="00090DAC" w:rsidRDefault="00090DAC" w:rsidP="001418A2">
      <w:pPr>
        <w:rPr>
          <w:rFonts w:eastAsiaTheme="minorEastAsia"/>
          <w:lang w:eastAsia="zh-CN"/>
        </w:rPr>
      </w:pPr>
      <w:r w:rsidRPr="001C25C4">
        <w:rPr>
          <w:rFonts w:eastAsiaTheme="minorEastAsia"/>
          <w:lang w:eastAsia="zh-CN"/>
        </w:rPr>
        <w:t xml:space="preserve">Speed – density relationship, which is usually referred to as the fundamental diagram, has been considered as the foundation of the traffic flow theory and transportation engineering. It has been long believed that single regime models could not well represent all traffic states ranging from free flow conditions to jam conditions. Qu et al. (2015; Transportation Research Part B, 73, 91-102) point out that the inaccuracy is not caused solely by their functional forms, but also by sample selection bias, and then apply a novel calibration approach to address the sample selection bias problem. In this technical note, we theoretically investigate how the functional forms of different models cope with the sample selection bias. A novel sampling approach </w:t>
      </w:r>
      <w:r>
        <w:rPr>
          <w:rFonts w:eastAsiaTheme="minorEastAsia"/>
          <w:lang w:eastAsia="zh-CN"/>
        </w:rPr>
        <w:t>is</w:t>
      </w:r>
      <w:r w:rsidRPr="001C25C4">
        <w:rPr>
          <w:rFonts w:eastAsiaTheme="minorEastAsia"/>
          <w:lang w:eastAsia="zh-CN"/>
        </w:rPr>
        <w:t xml:space="preserve"> used to select uniform observational data (which would have the same characteristics with experimental data). With the selected uniform data, we can analyse the impact of functional forms themselves by eliminating the sample selection bias. As most speed – density models are derived from their corresponding car following models, we can use the aggregated macroscopic speed density data to evaluate the performance of microscopic car following models. In this way, we can establish the connection between macroscopic and microscopic traffic flow models. </w:t>
      </w:r>
    </w:p>
    <w:p w:rsidR="001418A2" w:rsidRPr="005F6B9B" w:rsidRDefault="001418A2" w:rsidP="001418A2">
      <w:pPr>
        <w:pStyle w:val="SectionHeadingLevel1"/>
      </w:pPr>
      <w:r w:rsidRPr="005F6B9B">
        <w:t>1. Introduction</w:t>
      </w:r>
    </w:p>
    <w:p w:rsidR="00090DAC" w:rsidRPr="00090DAC" w:rsidRDefault="00090DAC" w:rsidP="00090DAC">
      <w:pPr>
        <w:spacing w:after="120"/>
      </w:pPr>
      <w:r w:rsidRPr="00090DAC">
        <w:t>It has been 80 years since Greenshields (1935) proposed a parabolic function by suggesting a linear speed-density curve for the speed-density relationship. Numerous studies has been done to improve such an over-simplified relationship (e.g. Greenberg, 1959; Underwood, 1961; Newell, 1961; Northwestern, 1967; NoKerner and Konhäuser, 1994, Del Castillo, 1995a&amp;b; MacNicolas, 2008; Wang et al., 2011).  Th</w:t>
      </w:r>
      <w:r w:rsidRPr="00090DAC">
        <w:rPr>
          <w:rFonts w:hint="eastAsia"/>
        </w:rPr>
        <w:t>e</w:t>
      </w:r>
      <w:r w:rsidRPr="00090DAC">
        <w:t>se models have been derived from different car following theories which are based on the follow-the-leader concept, in which rules how drivers follow their leading vehicles (Zhang and Kim, 2005). Many researchers believe that single-regime models cannot represent the empirical data consistently well both in the free-flow regime and the congested regime (Edie, 1961; Drake et al, 1967). As such, multiple regime models were proposed by using various different curves to represent distinct traffic states. Although the performance of multiple-regime model performs well in terms of accuracy, it has been criticized due to the lack of mathematical elegance. Table 1 lists four well-known single regime models with two parameters which will be discussed in the following sections.</w:t>
      </w:r>
    </w:p>
    <w:p w:rsidR="00090DAC" w:rsidRPr="00090DAC" w:rsidRDefault="00090DAC" w:rsidP="00090DAC">
      <w:pPr>
        <w:spacing w:after="120"/>
      </w:pPr>
      <w:r w:rsidRPr="00090DAC">
        <w:rPr>
          <w:b/>
        </w:rPr>
        <w:t>Table 1</w:t>
      </w:r>
      <w:r>
        <w:rPr>
          <w:b/>
        </w:rPr>
        <w:t>:</w:t>
      </w:r>
      <w:r w:rsidRPr="00090DAC">
        <w:t xml:space="preserve"> </w:t>
      </w:r>
      <w:r>
        <w:rPr>
          <w:lang w:val="en-US"/>
        </w:rPr>
        <w:t>F</w:t>
      </w:r>
      <w:r w:rsidRPr="00090DAC">
        <w:rPr>
          <w:lang w:val="en-US"/>
        </w:rPr>
        <w:t>our single-regime speed-density models</w:t>
      </w:r>
      <w:r w:rsidRPr="00090DAC">
        <w:tab/>
      </w:r>
    </w:p>
    <w:tbl>
      <w:tblPr>
        <w:tblW w:w="0" w:type="auto"/>
        <w:tblBorders>
          <w:top w:val="single" w:sz="8" w:space="0" w:color="auto"/>
          <w:bottom w:val="single" w:sz="8" w:space="0" w:color="auto"/>
        </w:tblBorders>
        <w:tblLook w:val="04A0" w:firstRow="1" w:lastRow="0" w:firstColumn="1" w:lastColumn="0" w:noHBand="0" w:noVBand="1"/>
      </w:tblPr>
      <w:tblGrid>
        <w:gridCol w:w="2919"/>
        <w:gridCol w:w="3396"/>
        <w:gridCol w:w="2907"/>
      </w:tblGrid>
      <w:tr w:rsidR="00090DAC" w:rsidRPr="00090DAC" w:rsidTr="009E1089">
        <w:trPr>
          <w:trHeight w:val="367"/>
        </w:trPr>
        <w:tc>
          <w:tcPr>
            <w:tcW w:w="2919" w:type="dxa"/>
            <w:tcBorders>
              <w:top w:val="single" w:sz="12" w:space="0" w:color="auto"/>
              <w:bottom w:val="single" w:sz="4" w:space="0" w:color="auto"/>
            </w:tcBorders>
            <w:vAlign w:val="center"/>
          </w:tcPr>
          <w:p w:rsidR="00090DAC" w:rsidRPr="00090DAC" w:rsidRDefault="00090DAC" w:rsidP="00090DAC">
            <w:pPr>
              <w:spacing w:after="120"/>
            </w:pPr>
            <w:r w:rsidRPr="00090DAC">
              <w:t>Single-regime models</w:t>
            </w:r>
          </w:p>
        </w:tc>
        <w:tc>
          <w:tcPr>
            <w:tcW w:w="3396" w:type="dxa"/>
            <w:tcBorders>
              <w:top w:val="single" w:sz="12" w:space="0" w:color="auto"/>
              <w:bottom w:val="single" w:sz="4" w:space="0" w:color="auto"/>
            </w:tcBorders>
            <w:vAlign w:val="center"/>
          </w:tcPr>
          <w:p w:rsidR="00090DAC" w:rsidRPr="00090DAC" w:rsidRDefault="00090DAC" w:rsidP="00312B9A">
            <w:pPr>
              <w:spacing w:after="120"/>
              <w:jc w:val="center"/>
            </w:pPr>
            <w:r w:rsidRPr="00090DAC">
              <w:t>Function</w:t>
            </w:r>
          </w:p>
        </w:tc>
        <w:tc>
          <w:tcPr>
            <w:tcW w:w="2907" w:type="dxa"/>
            <w:tcBorders>
              <w:top w:val="single" w:sz="12" w:space="0" w:color="auto"/>
              <w:bottom w:val="single" w:sz="8" w:space="0" w:color="auto"/>
            </w:tcBorders>
            <w:vAlign w:val="center"/>
          </w:tcPr>
          <w:p w:rsidR="00090DAC" w:rsidRPr="00090DAC" w:rsidRDefault="00090DAC" w:rsidP="00312B9A">
            <w:pPr>
              <w:spacing w:after="120"/>
              <w:jc w:val="center"/>
            </w:pPr>
            <w:r w:rsidRPr="00090DAC">
              <w:t>Parameters</w:t>
            </w:r>
          </w:p>
        </w:tc>
      </w:tr>
      <w:tr w:rsidR="00090DAC" w:rsidRPr="00090DAC" w:rsidTr="009E1089">
        <w:trPr>
          <w:trHeight w:val="703"/>
        </w:trPr>
        <w:tc>
          <w:tcPr>
            <w:tcW w:w="2919" w:type="dxa"/>
            <w:tcBorders>
              <w:top w:val="single" w:sz="8" w:space="0" w:color="auto"/>
            </w:tcBorders>
            <w:vAlign w:val="center"/>
          </w:tcPr>
          <w:p w:rsidR="00090DAC" w:rsidRPr="00090DAC" w:rsidRDefault="00090DAC" w:rsidP="00090DAC">
            <w:pPr>
              <w:spacing w:after="120"/>
            </w:pPr>
            <w:r w:rsidRPr="00090DAC">
              <w:t>Greenshields (1935)</w:t>
            </w:r>
          </w:p>
        </w:tc>
        <w:tc>
          <w:tcPr>
            <w:tcW w:w="3396" w:type="dxa"/>
            <w:tcBorders>
              <w:top w:val="single" w:sz="8" w:space="0" w:color="auto"/>
            </w:tcBorders>
            <w:vAlign w:val="center"/>
          </w:tcPr>
          <w:p w:rsidR="00090DAC" w:rsidRPr="00090DAC" w:rsidRDefault="00090DAC" w:rsidP="00312B9A">
            <w:pPr>
              <w:spacing w:after="120"/>
              <w:jc w:val="center"/>
            </w:pPr>
            <w:r w:rsidRPr="00090DAC">
              <w:rPr>
                <w:lang w:val="en-US"/>
              </w:rPr>
              <w:object w:dxaOrig="15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0.5pt" o:ole="">
                  <v:imagedata r:id="rId9" o:title=""/>
                </v:shape>
                <o:OLEObject Type="Embed" ProgID="Equation.DSMT4" ShapeID="_x0000_i1025" DrawAspect="Content" ObjectID="_1494401968" r:id="rId10"/>
              </w:object>
            </w:r>
          </w:p>
        </w:tc>
        <w:tc>
          <w:tcPr>
            <w:tcW w:w="2907" w:type="dxa"/>
            <w:tcBorders>
              <w:top w:val="single" w:sz="8" w:space="0" w:color="auto"/>
            </w:tcBorders>
            <w:vAlign w:val="center"/>
          </w:tcPr>
          <w:p w:rsidR="00090DAC" w:rsidRPr="00090DAC" w:rsidRDefault="00090DAC" w:rsidP="00312B9A">
            <w:pPr>
              <w:spacing w:after="120"/>
              <w:jc w:val="center"/>
              <w:rPr>
                <w:i/>
              </w:rPr>
            </w:pPr>
            <w:r w:rsidRPr="00090DAC">
              <w:rPr>
                <w:i/>
              </w:rPr>
              <w:t>v</w:t>
            </w:r>
            <w:r w:rsidRPr="00090DAC">
              <w:rPr>
                <w:i/>
                <w:vertAlign w:val="subscript"/>
              </w:rPr>
              <w:t>f</w:t>
            </w:r>
            <w:r w:rsidRPr="00090DAC">
              <w:rPr>
                <w:i/>
              </w:rPr>
              <w:t xml:space="preserve">, </w:t>
            </w:r>
            <w:r w:rsidRPr="00090DAC">
              <w:rPr>
                <w:rFonts w:hint="eastAsia"/>
                <w:i/>
              </w:rPr>
              <w:t>k</w:t>
            </w:r>
            <w:r w:rsidRPr="00090DAC">
              <w:rPr>
                <w:rFonts w:hint="eastAsia"/>
                <w:i/>
                <w:vertAlign w:val="subscript"/>
              </w:rPr>
              <w:t>j</w:t>
            </w:r>
          </w:p>
        </w:tc>
      </w:tr>
      <w:tr w:rsidR="00090DAC" w:rsidRPr="00090DAC" w:rsidTr="009E1089">
        <w:trPr>
          <w:trHeight w:val="703"/>
        </w:trPr>
        <w:tc>
          <w:tcPr>
            <w:tcW w:w="2919" w:type="dxa"/>
            <w:vAlign w:val="center"/>
          </w:tcPr>
          <w:p w:rsidR="00090DAC" w:rsidRPr="00090DAC" w:rsidRDefault="00090DAC" w:rsidP="00090DAC">
            <w:pPr>
              <w:spacing w:after="120"/>
            </w:pPr>
            <w:r w:rsidRPr="00090DAC">
              <w:t>Greenberg (1959)</w:t>
            </w:r>
          </w:p>
        </w:tc>
        <w:tc>
          <w:tcPr>
            <w:tcW w:w="3396" w:type="dxa"/>
            <w:vAlign w:val="center"/>
          </w:tcPr>
          <w:p w:rsidR="00090DAC" w:rsidRPr="00090DAC" w:rsidRDefault="00090DAC" w:rsidP="00312B9A">
            <w:pPr>
              <w:spacing w:after="120"/>
              <w:jc w:val="center"/>
            </w:pPr>
            <w:r w:rsidRPr="00090DAC">
              <w:object w:dxaOrig="1440" w:dyaOrig="760">
                <v:shape id="_x0000_i1026" type="#_x0000_t75" style="width:1in;height:38.25pt" o:ole="">
                  <v:imagedata r:id="rId11" o:title=""/>
                </v:shape>
                <o:OLEObject Type="Embed" ProgID="Equation.DSMT4" ShapeID="_x0000_i1026" DrawAspect="Content" ObjectID="_1494401969" r:id="rId12"/>
              </w:object>
            </w:r>
          </w:p>
        </w:tc>
        <w:tc>
          <w:tcPr>
            <w:tcW w:w="2907" w:type="dxa"/>
            <w:vAlign w:val="center"/>
          </w:tcPr>
          <w:p w:rsidR="00090DAC" w:rsidRPr="00090DAC" w:rsidRDefault="00090DAC" w:rsidP="00312B9A">
            <w:pPr>
              <w:spacing w:after="120"/>
              <w:jc w:val="center"/>
            </w:pPr>
            <w:r w:rsidRPr="00090DAC">
              <w:rPr>
                <w:i/>
              </w:rPr>
              <w:t>v</w:t>
            </w:r>
            <w:r w:rsidRPr="00090DAC">
              <w:rPr>
                <w:i/>
                <w:vertAlign w:val="subscript"/>
              </w:rPr>
              <w:t>f</w:t>
            </w:r>
            <w:r w:rsidRPr="00090DAC">
              <w:rPr>
                <w:rFonts w:hint="eastAsia"/>
                <w:i/>
              </w:rPr>
              <w:t>, k</w:t>
            </w:r>
            <w:r w:rsidRPr="00090DAC">
              <w:rPr>
                <w:rFonts w:hint="eastAsia"/>
                <w:i/>
                <w:vertAlign w:val="subscript"/>
              </w:rPr>
              <w:t>j</w:t>
            </w:r>
          </w:p>
        </w:tc>
      </w:tr>
      <w:tr w:rsidR="00090DAC" w:rsidRPr="00090DAC" w:rsidTr="009E1089">
        <w:trPr>
          <w:trHeight w:val="703"/>
        </w:trPr>
        <w:tc>
          <w:tcPr>
            <w:tcW w:w="2919" w:type="dxa"/>
            <w:vAlign w:val="center"/>
          </w:tcPr>
          <w:p w:rsidR="00090DAC" w:rsidRPr="00090DAC" w:rsidRDefault="00090DAC" w:rsidP="00090DAC">
            <w:pPr>
              <w:spacing w:after="120"/>
            </w:pPr>
            <w:r w:rsidRPr="00090DAC">
              <w:t>Underwood (1961)</w:t>
            </w:r>
          </w:p>
        </w:tc>
        <w:tc>
          <w:tcPr>
            <w:tcW w:w="3396" w:type="dxa"/>
            <w:vAlign w:val="center"/>
          </w:tcPr>
          <w:p w:rsidR="00090DAC" w:rsidRPr="00090DAC" w:rsidRDefault="00090DAC" w:rsidP="00312B9A">
            <w:pPr>
              <w:spacing w:after="120"/>
              <w:jc w:val="center"/>
            </w:pPr>
            <w:r w:rsidRPr="00090DAC">
              <w:rPr>
                <w:lang w:val="en-US"/>
              </w:rPr>
              <w:object w:dxaOrig="1760" w:dyaOrig="800">
                <v:shape id="_x0000_i1027" type="#_x0000_t75" style="width:88.5pt;height:40.5pt" o:ole="">
                  <v:imagedata r:id="rId13" o:title=""/>
                </v:shape>
                <o:OLEObject Type="Embed" ProgID="Equation.DSMT4" ShapeID="_x0000_i1027" DrawAspect="Content" ObjectID="_1494401970" r:id="rId14"/>
              </w:object>
            </w:r>
          </w:p>
        </w:tc>
        <w:tc>
          <w:tcPr>
            <w:tcW w:w="2907" w:type="dxa"/>
            <w:vAlign w:val="center"/>
          </w:tcPr>
          <w:p w:rsidR="00090DAC" w:rsidRPr="00090DAC" w:rsidRDefault="00090DAC" w:rsidP="00312B9A">
            <w:pPr>
              <w:spacing w:after="120"/>
              <w:jc w:val="center"/>
            </w:pPr>
            <w:r w:rsidRPr="00090DAC">
              <w:rPr>
                <w:i/>
              </w:rPr>
              <w:t>v</w:t>
            </w:r>
            <w:r w:rsidRPr="00090DAC">
              <w:rPr>
                <w:i/>
                <w:vertAlign w:val="subscript"/>
              </w:rPr>
              <w:t>f</w:t>
            </w:r>
            <w:r w:rsidRPr="00090DAC">
              <w:rPr>
                <w:rFonts w:hint="eastAsia"/>
                <w:i/>
              </w:rPr>
              <w:t>, k</w:t>
            </w:r>
            <w:r w:rsidRPr="00090DAC">
              <w:rPr>
                <w:rFonts w:hint="eastAsia"/>
                <w:i/>
                <w:vertAlign w:val="subscript"/>
              </w:rPr>
              <w:t>j</w:t>
            </w:r>
          </w:p>
        </w:tc>
      </w:tr>
      <w:tr w:rsidR="00090DAC" w:rsidRPr="00090DAC" w:rsidTr="009E1089">
        <w:trPr>
          <w:trHeight w:val="724"/>
        </w:trPr>
        <w:tc>
          <w:tcPr>
            <w:tcW w:w="2919" w:type="dxa"/>
            <w:vAlign w:val="center"/>
          </w:tcPr>
          <w:p w:rsidR="00090DAC" w:rsidRPr="00090DAC" w:rsidRDefault="00090DAC" w:rsidP="00090DAC">
            <w:pPr>
              <w:spacing w:after="120"/>
            </w:pPr>
            <w:r w:rsidRPr="00090DAC">
              <w:lastRenderedPageBreak/>
              <w:t>Northwestern (1967)</w:t>
            </w:r>
          </w:p>
        </w:tc>
        <w:tc>
          <w:tcPr>
            <w:tcW w:w="3396" w:type="dxa"/>
            <w:vAlign w:val="center"/>
          </w:tcPr>
          <w:p w:rsidR="00090DAC" w:rsidRPr="00090DAC" w:rsidRDefault="00090DAC" w:rsidP="00312B9A">
            <w:pPr>
              <w:spacing w:after="120"/>
              <w:jc w:val="center"/>
            </w:pPr>
            <w:r w:rsidRPr="00090DAC">
              <w:object w:dxaOrig="2280" w:dyaOrig="880">
                <v:shape id="_x0000_i1028" type="#_x0000_t75" style="width:114pt;height:43.5pt" o:ole="">
                  <v:imagedata r:id="rId15" o:title=""/>
                </v:shape>
                <o:OLEObject Type="Embed" ProgID="Equation.DSMT4" ShapeID="_x0000_i1028" DrawAspect="Content" ObjectID="_1494401971" r:id="rId16"/>
              </w:object>
            </w:r>
          </w:p>
        </w:tc>
        <w:tc>
          <w:tcPr>
            <w:tcW w:w="2907" w:type="dxa"/>
            <w:vAlign w:val="center"/>
          </w:tcPr>
          <w:p w:rsidR="00090DAC" w:rsidRPr="00090DAC" w:rsidRDefault="00090DAC" w:rsidP="00312B9A">
            <w:pPr>
              <w:spacing w:after="120"/>
              <w:jc w:val="center"/>
            </w:pPr>
            <w:r w:rsidRPr="00090DAC">
              <w:rPr>
                <w:i/>
              </w:rPr>
              <w:t>v</w:t>
            </w:r>
            <w:r w:rsidRPr="00090DAC">
              <w:rPr>
                <w:i/>
                <w:vertAlign w:val="subscript"/>
              </w:rPr>
              <w:t>f</w:t>
            </w:r>
            <w:r w:rsidRPr="00090DAC">
              <w:rPr>
                <w:rFonts w:hint="eastAsia"/>
                <w:i/>
              </w:rPr>
              <w:t>, k</w:t>
            </w:r>
            <w:r w:rsidRPr="00090DAC">
              <w:rPr>
                <w:rFonts w:hint="eastAsia"/>
                <w:i/>
                <w:vertAlign w:val="subscript"/>
              </w:rPr>
              <w:t>o</w:t>
            </w:r>
          </w:p>
        </w:tc>
      </w:tr>
    </w:tbl>
    <w:p w:rsidR="00090DAC" w:rsidRPr="00090DAC" w:rsidRDefault="00090DAC" w:rsidP="00090DAC">
      <w:pPr>
        <w:spacing w:after="120"/>
      </w:pPr>
    </w:p>
    <w:p w:rsidR="00090DAC" w:rsidRPr="00090DAC" w:rsidRDefault="00090DAC" w:rsidP="00090DAC">
      <w:pPr>
        <w:spacing w:after="120"/>
        <w:rPr>
          <w:lang w:val="en-US"/>
        </w:rPr>
      </w:pPr>
      <w:r w:rsidRPr="00090DAC">
        <w:rPr>
          <w:lang w:val="en-US"/>
        </w:rPr>
        <w:t xml:space="preserve">We use speed density data collected on the Georgia State Route 400 (referred to as GA400 dataset hereafter). The calibration results by the traditional least square methods are presented in Figure 1. As all the functional forms are derived from car following models, researchers usually use the performances of calibrated equations to assess their corresponding car following models (Qu et al., 2015). In this regard, Greenberg was outperformed by all other models, especially at mid to high traffic conditions. </w:t>
      </w:r>
    </w:p>
    <w:p w:rsidR="00090DAC" w:rsidRDefault="00090DAC" w:rsidP="00090DAC">
      <w:pPr>
        <w:spacing w:after="120"/>
      </w:pPr>
      <w:r w:rsidRPr="00090DAC">
        <w:rPr>
          <w:b/>
        </w:rPr>
        <w:t>Figure 1</w:t>
      </w:r>
      <w:r>
        <w:rPr>
          <w:b/>
        </w:rPr>
        <w:t>:</w:t>
      </w:r>
      <w:r w:rsidRPr="00090DAC">
        <w:rPr>
          <w:b/>
        </w:rPr>
        <w:t xml:space="preserve"> </w:t>
      </w:r>
      <w:r w:rsidRPr="00090DAC">
        <w:t xml:space="preserve">Performance of </w:t>
      </w:r>
      <w:r w:rsidRPr="00090DAC">
        <w:rPr>
          <w:lang w:val="en-US"/>
        </w:rPr>
        <w:t>four single-regime speed-density models in Table 1</w:t>
      </w:r>
    </w:p>
    <w:p w:rsidR="00090DAC" w:rsidRPr="00090DAC" w:rsidRDefault="00090DAC" w:rsidP="00867AC6">
      <w:pPr>
        <w:spacing w:after="120"/>
        <w:jc w:val="left"/>
      </w:pPr>
      <w:r w:rsidRPr="00090DAC">
        <w:rPr>
          <w:noProof/>
          <w:lang w:eastAsia="zh-CN"/>
        </w:rPr>
        <w:drawing>
          <wp:inline distT="0" distB="0" distL="0" distR="0" wp14:anchorId="0542AA83" wp14:editId="69941FAE">
            <wp:extent cx="4610100" cy="3305175"/>
            <wp:effectExtent l="0" t="0" r="0" b="9525"/>
            <wp:docPr id="3" name="Picture 3" descr="C:\Users\s2809557\Desktop\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s2809557\Desktop\v6.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4408" r="-40"/>
                    <a:stretch/>
                  </pic:blipFill>
                  <pic:spPr bwMode="auto">
                    <a:xfrm>
                      <a:off x="0" y="0"/>
                      <a:ext cx="4613288" cy="3307461"/>
                    </a:xfrm>
                    <a:prstGeom prst="rect">
                      <a:avLst/>
                    </a:prstGeom>
                    <a:noFill/>
                    <a:ln>
                      <a:noFill/>
                    </a:ln>
                    <a:extLst>
                      <a:ext uri="{53640926-AAD7-44D8-BBD7-CCE9431645EC}">
                        <a14:shadowObscured xmlns:a14="http://schemas.microsoft.com/office/drawing/2010/main"/>
                      </a:ext>
                    </a:extLst>
                  </pic:spPr>
                </pic:pic>
              </a:graphicData>
            </a:graphic>
          </wp:inline>
        </w:drawing>
      </w:r>
    </w:p>
    <w:p w:rsidR="00090DAC" w:rsidRPr="00090DAC" w:rsidRDefault="00090DAC" w:rsidP="00090DAC">
      <w:pPr>
        <w:spacing w:after="120"/>
        <w:rPr>
          <w:lang w:val="en-US"/>
        </w:rPr>
      </w:pPr>
      <w:r w:rsidRPr="00090DAC">
        <w:rPr>
          <w:lang w:val="en-US"/>
        </w:rPr>
        <w:t xml:space="preserve">According to Qu et al. (2015), the inaccuracy of single-regime models is not caused solely by their functional forms, but also by the sample selection bias. Two types of data are defined: observational data and experimental data. Observational data has been measured or surveyed as it is. In contrast, experimental data is obtainable from measurements or survey which is designed by researchers. As a result, the observational data might be highly skewed and experimental data can be uniform. The data we use includes 47,815 observations of speeds and densities, 86.3% (41,259) of which refer to free flow conditions (&lt; 20 veh/km). Evidently, most, if not all, freeway traffic data is a traditional observational data. Therefore, the calibrated models are likely to be dominated by free flow conditions, which result in poor performances for congested traffic states. In other words, the performances of calibrated models are determined not only by the function forms but also the data. Theoretically, the performances of microscopic car following models can be assessed by the performance of functional forms of the speed density relationship in a macroscopic way. It is possible that the functional form of Greenberg model is good. However, due to the feature of speed density data, the calibrated model, which is dominated by free flow conditions, does not perform as what it should. In this regard, only speed density equations calibrated from experimental data can be used to macroscopically assess the performance of their corresponding car following models. </w:t>
      </w:r>
    </w:p>
    <w:p w:rsidR="00090DAC" w:rsidRDefault="00090DAC" w:rsidP="00090DAC">
      <w:pPr>
        <w:spacing w:after="120"/>
      </w:pPr>
      <w:r w:rsidRPr="00090DAC">
        <w:rPr>
          <w:lang w:val="en-US"/>
        </w:rPr>
        <w:t xml:space="preserve">In this research, a uniform sampling procedure is proposed to generate experimental data from the collected data. Based on the generated experimental data, the performances of four </w:t>
      </w:r>
      <w:r w:rsidRPr="00090DAC">
        <w:rPr>
          <w:lang w:val="en-US"/>
        </w:rPr>
        <w:lastRenderedPageBreak/>
        <w:t>two-parameter models are compared. It is found that Greenberg model performs very well and outperforms the Greenshields model and Northwestern model. A theoretical investigation is also presented to discuss why sample selection bias has a higher impact to Greenberg model compared the other three models.</w:t>
      </w:r>
    </w:p>
    <w:p w:rsidR="001418A2" w:rsidRDefault="00090DAC" w:rsidP="001418A2">
      <w:pPr>
        <w:pStyle w:val="SectionHeadingLevel1"/>
      </w:pPr>
      <w:r>
        <w:t xml:space="preserve">2. </w:t>
      </w:r>
      <w:r w:rsidRPr="00090DAC">
        <w:t>METHDOLOGY</w:t>
      </w:r>
    </w:p>
    <w:p w:rsidR="001418A2" w:rsidRDefault="001418A2" w:rsidP="001418A2">
      <w:pPr>
        <w:pStyle w:val="SectionHeadingLevel2"/>
      </w:pPr>
      <w:r>
        <w:t>2.1</w:t>
      </w:r>
      <w:r w:rsidR="00090DAC">
        <w:t xml:space="preserve"> </w:t>
      </w:r>
      <w:r w:rsidR="00090DAC" w:rsidRPr="00090DAC">
        <w:t>Uniform data sampling</w:t>
      </w:r>
    </w:p>
    <w:p w:rsidR="00090DAC" w:rsidRPr="001C25C4" w:rsidRDefault="00090DAC" w:rsidP="00090DAC">
      <w:r w:rsidRPr="001C25C4">
        <w:t xml:space="preserve">In order to </w:t>
      </w:r>
      <w:r>
        <w:t>assess</w:t>
      </w:r>
      <w:r w:rsidRPr="001C25C4">
        <w:t xml:space="preserve"> the speed-density functional forms, </w:t>
      </w:r>
      <w:r>
        <w:t>we intend to generate experimental data from the observational database</w:t>
      </w:r>
      <w:r w:rsidRPr="001C25C4">
        <w:t xml:space="preserve">. </w:t>
      </w:r>
      <w:r>
        <w:t>We first</w:t>
      </w:r>
      <w:r w:rsidRPr="001C25C4">
        <w:t xml:space="preserve"> divide the observational data into several </w:t>
      </w:r>
      <w:r>
        <w:t>ranges</w:t>
      </w:r>
      <w:r w:rsidRPr="001C25C4">
        <w:t xml:space="preserve"> </w:t>
      </w:r>
      <w:r>
        <w:t xml:space="preserve">based on their density, and then generate uniform number of </w:t>
      </w:r>
      <w:r w:rsidRPr="001C25C4">
        <w:t xml:space="preserve">data points </w:t>
      </w:r>
      <w:r>
        <w:t>for</w:t>
      </w:r>
      <w:r w:rsidRPr="001C25C4">
        <w:t xml:space="preserve"> each group based on the observations. </w:t>
      </w:r>
      <w:r>
        <w:t>As can be seen in Figure 2</w:t>
      </w:r>
      <w:r w:rsidRPr="001C25C4">
        <w:t xml:space="preserve">, </w:t>
      </w:r>
      <w:r>
        <w:t>50 data points for each range are generated from the uniform sampling process</w:t>
      </w:r>
      <w:r w:rsidRPr="001C25C4">
        <w:t xml:space="preserve">. </w:t>
      </w:r>
      <w:r>
        <w:t>The</w:t>
      </w:r>
      <w:r w:rsidRPr="001C25C4">
        <w:t xml:space="preserve"> total number of the original observations in each range has been listed in Table </w:t>
      </w:r>
      <w:r>
        <w:t>2</w:t>
      </w:r>
      <w:r w:rsidRPr="001C25C4">
        <w:t xml:space="preserve"> below,</w:t>
      </w:r>
    </w:p>
    <w:p w:rsidR="00090DAC" w:rsidRPr="001C25C4" w:rsidRDefault="00090DAC" w:rsidP="00090DAC">
      <w:pPr>
        <w:jc w:val="center"/>
      </w:pPr>
    </w:p>
    <w:p w:rsidR="00090DAC" w:rsidRDefault="00090DAC" w:rsidP="00CE58BA">
      <w:pPr>
        <w:jc w:val="left"/>
        <w:rPr>
          <w:noProof/>
          <w:lang w:eastAsia="zh-CN"/>
        </w:rPr>
      </w:pPr>
      <w:r w:rsidRPr="001C25C4">
        <w:rPr>
          <w:b/>
        </w:rPr>
        <w:t>Figure 2(a)</w:t>
      </w:r>
      <w:r>
        <w:rPr>
          <w:b/>
        </w:rPr>
        <w:t>:</w:t>
      </w:r>
      <w:r w:rsidRPr="001C25C4">
        <w:t xml:space="preserve"> Original data distribution</w:t>
      </w:r>
    </w:p>
    <w:p w:rsidR="00090DAC" w:rsidRPr="001C25C4" w:rsidRDefault="00090DAC" w:rsidP="00867AC6">
      <w:pPr>
        <w:jc w:val="left"/>
      </w:pPr>
      <w:r w:rsidRPr="001C25C4">
        <w:rPr>
          <w:rFonts w:hint="eastAsia"/>
          <w:noProof/>
          <w:lang w:eastAsia="zh-CN"/>
        </w:rPr>
        <w:drawing>
          <wp:inline distT="0" distB="0" distL="0" distR="0" wp14:anchorId="63AB3CB3" wp14:editId="3B4483BB">
            <wp:extent cx="3667125" cy="2633308"/>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png"/>
                    <pic:cNvPicPr/>
                  </pic:nvPicPr>
                  <pic:blipFill rotWithShape="1">
                    <a:blip r:embed="rId18">
                      <a:extLst>
                        <a:ext uri="{28A0092B-C50C-407E-A947-70E740481C1C}">
                          <a14:useLocalDpi xmlns:a14="http://schemas.microsoft.com/office/drawing/2010/main" val="0"/>
                        </a:ext>
                      </a:extLst>
                    </a:blip>
                    <a:srcRect t="3915" r="-170"/>
                    <a:stretch/>
                  </pic:blipFill>
                  <pic:spPr bwMode="auto">
                    <a:xfrm>
                      <a:off x="0" y="0"/>
                      <a:ext cx="3676538" cy="2640067"/>
                    </a:xfrm>
                    <a:prstGeom prst="rect">
                      <a:avLst/>
                    </a:prstGeom>
                    <a:ln>
                      <a:noFill/>
                    </a:ln>
                    <a:extLst>
                      <a:ext uri="{53640926-AAD7-44D8-BBD7-CCE9431645EC}">
                        <a14:shadowObscured xmlns:a14="http://schemas.microsoft.com/office/drawing/2010/main"/>
                      </a:ext>
                    </a:extLst>
                  </pic:spPr>
                </pic:pic>
              </a:graphicData>
            </a:graphic>
          </wp:inline>
        </w:drawing>
      </w:r>
    </w:p>
    <w:p w:rsidR="00090DAC" w:rsidRDefault="00090DAC" w:rsidP="00CE58BA">
      <w:pPr>
        <w:jc w:val="left"/>
        <w:rPr>
          <w:noProof/>
          <w:lang w:eastAsia="zh-CN"/>
        </w:rPr>
      </w:pPr>
      <w:r>
        <w:rPr>
          <w:b/>
        </w:rPr>
        <w:t>Figure 2</w:t>
      </w:r>
      <w:r w:rsidRPr="001C25C4">
        <w:rPr>
          <w:b/>
        </w:rPr>
        <w:t>(b)</w:t>
      </w:r>
      <w:r>
        <w:rPr>
          <w:b/>
        </w:rPr>
        <w:t>:</w:t>
      </w:r>
      <w:r w:rsidRPr="001C25C4">
        <w:t xml:space="preserve"> Experimental data distribution</w:t>
      </w:r>
    </w:p>
    <w:p w:rsidR="00090DAC" w:rsidRPr="001C25C4" w:rsidRDefault="00090DAC" w:rsidP="00867AC6">
      <w:pPr>
        <w:jc w:val="left"/>
      </w:pPr>
      <w:r w:rsidRPr="001C25C4">
        <w:rPr>
          <w:rFonts w:hint="eastAsia"/>
          <w:noProof/>
          <w:lang w:eastAsia="zh-CN"/>
        </w:rPr>
        <w:drawing>
          <wp:inline distT="0" distB="0" distL="0" distR="0" wp14:anchorId="26C49F8A" wp14:editId="60293BE9">
            <wp:extent cx="3762375" cy="2701706"/>
            <wp:effectExtent l="0" t="0" r="0" b="381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png"/>
                    <pic:cNvPicPr/>
                  </pic:nvPicPr>
                  <pic:blipFill rotWithShape="1">
                    <a:blip r:embed="rId19">
                      <a:extLst>
                        <a:ext uri="{28A0092B-C50C-407E-A947-70E740481C1C}">
                          <a14:useLocalDpi xmlns:a14="http://schemas.microsoft.com/office/drawing/2010/main" val="0"/>
                        </a:ext>
                      </a:extLst>
                    </a:blip>
                    <a:srcRect t="3915" r="-170"/>
                    <a:stretch/>
                  </pic:blipFill>
                  <pic:spPr bwMode="auto">
                    <a:xfrm>
                      <a:off x="0" y="0"/>
                      <a:ext cx="3773248" cy="2709513"/>
                    </a:xfrm>
                    <a:prstGeom prst="rect">
                      <a:avLst/>
                    </a:prstGeom>
                    <a:ln>
                      <a:noFill/>
                    </a:ln>
                    <a:extLst>
                      <a:ext uri="{53640926-AAD7-44D8-BBD7-CCE9431645EC}">
                        <a14:shadowObscured xmlns:a14="http://schemas.microsoft.com/office/drawing/2010/main"/>
                      </a:ext>
                    </a:extLst>
                  </pic:spPr>
                </pic:pic>
              </a:graphicData>
            </a:graphic>
          </wp:inline>
        </w:drawing>
      </w:r>
    </w:p>
    <w:p w:rsidR="00090DAC" w:rsidRDefault="00090DAC" w:rsidP="00090DAC">
      <w:pPr>
        <w:rPr>
          <w:b/>
          <w:lang w:val="en-GB"/>
        </w:rPr>
      </w:pPr>
    </w:p>
    <w:p w:rsidR="00090DAC" w:rsidRPr="001C25C4" w:rsidRDefault="00090DAC" w:rsidP="00090DAC">
      <w:pPr>
        <w:rPr>
          <w:lang w:val="en-GB"/>
        </w:rPr>
      </w:pPr>
      <w:r w:rsidRPr="001C25C4">
        <w:rPr>
          <w:b/>
          <w:lang w:val="en-GB"/>
        </w:rPr>
        <w:lastRenderedPageBreak/>
        <w:t xml:space="preserve">Table </w:t>
      </w:r>
      <w:r>
        <w:rPr>
          <w:b/>
          <w:lang w:val="en-GB" w:eastAsia="zh-CN"/>
        </w:rPr>
        <w:t>2:</w:t>
      </w:r>
      <w:r w:rsidRPr="001C25C4">
        <w:rPr>
          <w:b/>
          <w:lang w:val="en-GB" w:eastAsia="zh-CN"/>
        </w:rPr>
        <w:t xml:space="preserve"> </w:t>
      </w:r>
      <w:r w:rsidRPr="001C25C4">
        <w:rPr>
          <w:lang w:val="en-GB"/>
        </w:rPr>
        <w:t xml:space="preserve">Number of </w:t>
      </w:r>
      <w:r w:rsidRPr="001C25C4">
        <w:t>observations in fourteen ranges</w:t>
      </w:r>
    </w:p>
    <w:tbl>
      <w:tblPr>
        <w:tblW w:w="5000" w:type="pct"/>
        <w:tblBorders>
          <w:top w:val="single" w:sz="4" w:space="0" w:color="auto"/>
          <w:bottom w:val="single" w:sz="4" w:space="0" w:color="auto"/>
        </w:tblBorders>
        <w:tblLook w:val="04A0" w:firstRow="1" w:lastRow="0" w:firstColumn="1" w:lastColumn="0" w:noHBand="0" w:noVBand="1"/>
      </w:tblPr>
      <w:tblGrid>
        <w:gridCol w:w="2321"/>
        <w:gridCol w:w="2321"/>
        <w:gridCol w:w="2322"/>
        <w:gridCol w:w="2322"/>
      </w:tblGrid>
      <w:tr w:rsidR="00090DAC" w:rsidRPr="001C25C4" w:rsidTr="009E1089">
        <w:trPr>
          <w:trHeight w:val="356"/>
        </w:trPr>
        <w:tc>
          <w:tcPr>
            <w:tcW w:w="1250" w:type="pct"/>
            <w:tcBorders>
              <w:top w:val="single" w:sz="12" w:space="0" w:color="auto"/>
              <w:bottom w:val="single" w:sz="8" w:space="0" w:color="auto"/>
            </w:tcBorders>
            <w:shd w:val="clear" w:color="auto" w:fill="auto"/>
            <w:noWrap/>
            <w:vAlign w:val="center"/>
            <w:hideMark/>
          </w:tcPr>
          <w:p w:rsidR="00090DAC" w:rsidRPr="001C25C4" w:rsidRDefault="00090DAC" w:rsidP="009E1089">
            <w:pPr>
              <w:jc w:val="center"/>
            </w:pPr>
            <w:r w:rsidRPr="001C25C4">
              <w:t xml:space="preserve">Density Range </w:t>
            </w:r>
          </w:p>
          <w:p w:rsidR="00090DAC" w:rsidRPr="001C25C4" w:rsidRDefault="00090DAC" w:rsidP="009E1089">
            <w:pPr>
              <w:jc w:val="center"/>
              <w:rPr>
                <w:lang w:eastAsia="zh-CN"/>
              </w:rPr>
            </w:pPr>
            <w:r w:rsidRPr="001C25C4">
              <w:t>(veh/km)</w:t>
            </w:r>
          </w:p>
        </w:tc>
        <w:tc>
          <w:tcPr>
            <w:tcW w:w="1250" w:type="pct"/>
            <w:tcBorders>
              <w:top w:val="single" w:sz="12" w:space="0" w:color="auto"/>
              <w:bottom w:val="single" w:sz="4" w:space="0" w:color="auto"/>
            </w:tcBorders>
            <w:shd w:val="clear" w:color="auto" w:fill="auto"/>
            <w:noWrap/>
            <w:vAlign w:val="center"/>
            <w:hideMark/>
          </w:tcPr>
          <w:p w:rsidR="00090DAC" w:rsidRPr="001C25C4" w:rsidRDefault="00090DAC" w:rsidP="009E1089">
            <w:pPr>
              <w:jc w:val="center"/>
            </w:pPr>
            <w:r w:rsidRPr="001C25C4">
              <w:t xml:space="preserve">Number of </w:t>
            </w:r>
          </w:p>
          <w:p w:rsidR="00090DAC" w:rsidRPr="001C25C4" w:rsidRDefault="00090DAC" w:rsidP="009E1089">
            <w:pPr>
              <w:jc w:val="center"/>
            </w:pPr>
            <w:r w:rsidRPr="001C25C4">
              <w:t>observations (n)</w:t>
            </w:r>
          </w:p>
        </w:tc>
        <w:tc>
          <w:tcPr>
            <w:tcW w:w="1250" w:type="pct"/>
            <w:tcBorders>
              <w:top w:val="single" w:sz="12" w:space="0" w:color="auto"/>
              <w:bottom w:val="single" w:sz="4" w:space="0" w:color="auto"/>
            </w:tcBorders>
            <w:shd w:val="clear" w:color="auto" w:fill="auto"/>
            <w:noWrap/>
            <w:vAlign w:val="center"/>
            <w:hideMark/>
          </w:tcPr>
          <w:p w:rsidR="00090DAC" w:rsidRPr="001C25C4" w:rsidRDefault="00090DAC" w:rsidP="009E1089">
            <w:pPr>
              <w:jc w:val="center"/>
            </w:pPr>
            <w:r w:rsidRPr="001C25C4">
              <w:t>Density Range</w:t>
            </w:r>
          </w:p>
          <w:p w:rsidR="00090DAC" w:rsidRPr="001C25C4" w:rsidRDefault="00090DAC" w:rsidP="009E1089">
            <w:pPr>
              <w:jc w:val="center"/>
            </w:pPr>
            <w:r w:rsidRPr="001C25C4">
              <w:t xml:space="preserve"> (veh/km)</w:t>
            </w:r>
          </w:p>
        </w:tc>
        <w:tc>
          <w:tcPr>
            <w:tcW w:w="1250" w:type="pct"/>
            <w:tcBorders>
              <w:top w:val="single" w:sz="12" w:space="0" w:color="auto"/>
              <w:bottom w:val="single" w:sz="4" w:space="0" w:color="auto"/>
            </w:tcBorders>
            <w:shd w:val="clear" w:color="auto" w:fill="auto"/>
            <w:noWrap/>
            <w:vAlign w:val="center"/>
            <w:hideMark/>
          </w:tcPr>
          <w:p w:rsidR="00090DAC" w:rsidRPr="001C25C4" w:rsidRDefault="00090DAC" w:rsidP="009E1089">
            <w:pPr>
              <w:jc w:val="center"/>
            </w:pPr>
            <w:r w:rsidRPr="001C25C4">
              <w:t xml:space="preserve">Number of </w:t>
            </w:r>
          </w:p>
          <w:p w:rsidR="00090DAC" w:rsidRPr="001C25C4" w:rsidRDefault="00090DAC" w:rsidP="009E1089">
            <w:pPr>
              <w:jc w:val="center"/>
            </w:pPr>
            <w:r w:rsidRPr="001C25C4">
              <w:t>observations (n)</w:t>
            </w:r>
          </w:p>
        </w:tc>
      </w:tr>
      <w:tr w:rsidR="00090DAC" w:rsidRPr="001C25C4" w:rsidTr="009E1089">
        <w:trPr>
          <w:trHeight w:val="356"/>
        </w:trPr>
        <w:tc>
          <w:tcPr>
            <w:tcW w:w="1250" w:type="pct"/>
            <w:tcBorders>
              <w:top w:val="single" w:sz="8" w:space="0" w:color="auto"/>
            </w:tcBorders>
            <w:shd w:val="clear" w:color="auto" w:fill="auto"/>
            <w:noWrap/>
            <w:vAlign w:val="center"/>
            <w:hideMark/>
          </w:tcPr>
          <w:p w:rsidR="00090DAC" w:rsidRPr="001C25C4" w:rsidRDefault="00090DAC" w:rsidP="009E1089">
            <w:pPr>
              <w:jc w:val="center"/>
            </w:pPr>
            <w:r w:rsidRPr="001C25C4">
              <w:t>0-10</w:t>
            </w:r>
          </w:p>
        </w:tc>
        <w:tc>
          <w:tcPr>
            <w:tcW w:w="1250" w:type="pct"/>
            <w:tcBorders>
              <w:top w:val="single" w:sz="8" w:space="0" w:color="auto"/>
            </w:tcBorders>
            <w:shd w:val="clear" w:color="auto" w:fill="auto"/>
            <w:noWrap/>
            <w:vAlign w:val="center"/>
            <w:hideMark/>
          </w:tcPr>
          <w:p w:rsidR="00090DAC" w:rsidRPr="001C25C4" w:rsidRDefault="00090DAC" w:rsidP="009E1089">
            <w:pPr>
              <w:jc w:val="center"/>
            </w:pPr>
            <w:r w:rsidRPr="001C25C4">
              <w:t>6989</w:t>
            </w:r>
          </w:p>
        </w:tc>
        <w:tc>
          <w:tcPr>
            <w:tcW w:w="1250" w:type="pct"/>
            <w:tcBorders>
              <w:top w:val="single" w:sz="8" w:space="0" w:color="auto"/>
            </w:tcBorders>
            <w:shd w:val="clear" w:color="auto" w:fill="auto"/>
            <w:noWrap/>
            <w:vAlign w:val="center"/>
            <w:hideMark/>
          </w:tcPr>
          <w:p w:rsidR="00090DAC" w:rsidRPr="001C25C4" w:rsidRDefault="00090DAC" w:rsidP="009E1089">
            <w:pPr>
              <w:jc w:val="center"/>
            </w:pPr>
            <w:r w:rsidRPr="001C25C4">
              <w:rPr>
                <w:rFonts w:hint="eastAsia"/>
                <w:lang w:eastAsia="zh-CN"/>
              </w:rPr>
              <w:t>70</w:t>
            </w:r>
            <w:r w:rsidRPr="001C25C4">
              <w:t>-</w:t>
            </w:r>
            <w:r w:rsidRPr="001C25C4">
              <w:rPr>
                <w:rFonts w:hint="eastAsia"/>
                <w:lang w:eastAsia="zh-CN"/>
              </w:rPr>
              <w:t>8</w:t>
            </w:r>
            <w:r w:rsidRPr="001C25C4">
              <w:t>0</w:t>
            </w:r>
          </w:p>
        </w:tc>
        <w:tc>
          <w:tcPr>
            <w:tcW w:w="1250" w:type="pct"/>
            <w:tcBorders>
              <w:top w:val="single" w:sz="8" w:space="0" w:color="auto"/>
            </w:tcBorders>
            <w:shd w:val="clear" w:color="auto" w:fill="auto"/>
            <w:noWrap/>
            <w:vAlign w:val="center"/>
            <w:hideMark/>
          </w:tcPr>
          <w:p w:rsidR="00090DAC" w:rsidRPr="001C25C4" w:rsidRDefault="00090DAC" w:rsidP="009E1089">
            <w:pPr>
              <w:jc w:val="center"/>
            </w:pPr>
            <w:r w:rsidRPr="001C25C4">
              <w:t>378</w:t>
            </w:r>
          </w:p>
        </w:tc>
      </w:tr>
      <w:tr w:rsidR="00090DAC" w:rsidRPr="001C25C4" w:rsidTr="009E1089">
        <w:trPr>
          <w:trHeight w:val="356"/>
        </w:trPr>
        <w:tc>
          <w:tcPr>
            <w:tcW w:w="1250" w:type="pct"/>
            <w:shd w:val="clear" w:color="auto" w:fill="auto"/>
            <w:noWrap/>
            <w:vAlign w:val="center"/>
            <w:hideMark/>
          </w:tcPr>
          <w:p w:rsidR="00090DAC" w:rsidRPr="001C25C4" w:rsidRDefault="00090DAC" w:rsidP="009E1089">
            <w:pPr>
              <w:jc w:val="center"/>
            </w:pPr>
            <w:r w:rsidRPr="001C25C4">
              <w:t>10-20</w:t>
            </w:r>
          </w:p>
        </w:tc>
        <w:tc>
          <w:tcPr>
            <w:tcW w:w="1250" w:type="pct"/>
            <w:shd w:val="clear" w:color="auto" w:fill="auto"/>
            <w:noWrap/>
            <w:vAlign w:val="center"/>
            <w:hideMark/>
          </w:tcPr>
          <w:p w:rsidR="00090DAC" w:rsidRPr="001C25C4" w:rsidRDefault="00090DAC" w:rsidP="009E1089">
            <w:pPr>
              <w:jc w:val="center"/>
            </w:pPr>
            <w:r w:rsidRPr="001C25C4">
              <w:t>34306</w:t>
            </w:r>
          </w:p>
        </w:tc>
        <w:tc>
          <w:tcPr>
            <w:tcW w:w="1250" w:type="pct"/>
            <w:shd w:val="clear" w:color="auto" w:fill="auto"/>
            <w:noWrap/>
            <w:vAlign w:val="center"/>
          </w:tcPr>
          <w:p w:rsidR="00090DAC" w:rsidRPr="001C25C4" w:rsidRDefault="00090DAC" w:rsidP="009E1089">
            <w:pPr>
              <w:jc w:val="center"/>
            </w:pPr>
            <w:r w:rsidRPr="001C25C4">
              <w:rPr>
                <w:rFonts w:hint="eastAsia"/>
                <w:lang w:eastAsia="zh-CN"/>
              </w:rPr>
              <w:t>80</w:t>
            </w:r>
            <w:r w:rsidRPr="001C25C4">
              <w:t>-</w:t>
            </w:r>
            <w:r w:rsidRPr="001C25C4">
              <w:rPr>
                <w:rFonts w:hint="eastAsia"/>
                <w:lang w:eastAsia="zh-CN"/>
              </w:rPr>
              <w:t>9</w:t>
            </w:r>
            <w:r w:rsidRPr="001C25C4">
              <w:t>0</w:t>
            </w:r>
          </w:p>
        </w:tc>
        <w:tc>
          <w:tcPr>
            <w:tcW w:w="1250" w:type="pct"/>
            <w:shd w:val="clear" w:color="auto" w:fill="auto"/>
            <w:noWrap/>
            <w:vAlign w:val="center"/>
          </w:tcPr>
          <w:p w:rsidR="00090DAC" w:rsidRPr="001C25C4" w:rsidRDefault="00090DAC" w:rsidP="009E1089">
            <w:pPr>
              <w:jc w:val="center"/>
            </w:pPr>
            <w:r w:rsidRPr="001C25C4">
              <w:t>218</w:t>
            </w:r>
          </w:p>
        </w:tc>
      </w:tr>
      <w:tr w:rsidR="00090DAC" w:rsidRPr="001C25C4" w:rsidTr="009E1089">
        <w:trPr>
          <w:trHeight w:val="356"/>
        </w:trPr>
        <w:tc>
          <w:tcPr>
            <w:tcW w:w="1250" w:type="pct"/>
            <w:shd w:val="clear" w:color="auto" w:fill="auto"/>
            <w:noWrap/>
            <w:vAlign w:val="center"/>
            <w:hideMark/>
          </w:tcPr>
          <w:p w:rsidR="00090DAC" w:rsidRPr="001C25C4" w:rsidRDefault="00090DAC" w:rsidP="009E1089">
            <w:pPr>
              <w:jc w:val="center"/>
            </w:pPr>
            <w:r w:rsidRPr="001C25C4">
              <w:t>20-30</w:t>
            </w:r>
          </w:p>
        </w:tc>
        <w:tc>
          <w:tcPr>
            <w:tcW w:w="1250" w:type="pct"/>
            <w:shd w:val="clear" w:color="auto" w:fill="auto"/>
            <w:noWrap/>
            <w:vAlign w:val="center"/>
            <w:hideMark/>
          </w:tcPr>
          <w:p w:rsidR="00090DAC" w:rsidRPr="001C25C4" w:rsidRDefault="00090DAC" w:rsidP="009E1089">
            <w:pPr>
              <w:jc w:val="center"/>
            </w:pPr>
            <w:r w:rsidRPr="001C25C4">
              <w:t>1824</w:t>
            </w:r>
          </w:p>
        </w:tc>
        <w:tc>
          <w:tcPr>
            <w:tcW w:w="1250" w:type="pct"/>
            <w:shd w:val="clear" w:color="auto" w:fill="auto"/>
            <w:noWrap/>
            <w:vAlign w:val="center"/>
          </w:tcPr>
          <w:p w:rsidR="00090DAC" w:rsidRPr="001C25C4" w:rsidRDefault="00090DAC" w:rsidP="009E1089">
            <w:pPr>
              <w:jc w:val="center"/>
            </w:pPr>
            <w:r w:rsidRPr="001C25C4">
              <w:rPr>
                <w:rFonts w:hint="eastAsia"/>
                <w:lang w:eastAsia="zh-CN"/>
              </w:rPr>
              <w:t>9</w:t>
            </w:r>
            <w:r w:rsidRPr="001C25C4">
              <w:t>0-</w:t>
            </w:r>
            <w:r w:rsidRPr="001C25C4">
              <w:rPr>
                <w:rFonts w:hint="eastAsia"/>
                <w:lang w:eastAsia="zh-CN"/>
              </w:rPr>
              <w:t>10</w:t>
            </w:r>
            <w:r w:rsidRPr="001C25C4">
              <w:t>0</w:t>
            </w:r>
          </w:p>
        </w:tc>
        <w:tc>
          <w:tcPr>
            <w:tcW w:w="1250" w:type="pct"/>
            <w:shd w:val="clear" w:color="auto" w:fill="auto"/>
            <w:noWrap/>
            <w:vAlign w:val="center"/>
          </w:tcPr>
          <w:p w:rsidR="00090DAC" w:rsidRPr="001C25C4" w:rsidRDefault="00090DAC" w:rsidP="009E1089">
            <w:pPr>
              <w:jc w:val="center"/>
            </w:pPr>
            <w:r w:rsidRPr="001C25C4">
              <w:t>150</w:t>
            </w:r>
          </w:p>
        </w:tc>
      </w:tr>
      <w:tr w:rsidR="00090DAC" w:rsidRPr="001C25C4" w:rsidTr="009E1089">
        <w:trPr>
          <w:trHeight w:val="356"/>
        </w:trPr>
        <w:tc>
          <w:tcPr>
            <w:tcW w:w="1250" w:type="pct"/>
            <w:shd w:val="clear" w:color="auto" w:fill="auto"/>
            <w:noWrap/>
            <w:vAlign w:val="center"/>
            <w:hideMark/>
          </w:tcPr>
          <w:p w:rsidR="00090DAC" w:rsidRPr="001C25C4" w:rsidRDefault="00090DAC" w:rsidP="009E1089">
            <w:pPr>
              <w:jc w:val="center"/>
            </w:pPr>
            <w:r w:rsidRPr="001C25C4">
              <w:t>30-40</w:t>
            </w:r>
          </w:p>
        </w:tc>
        <w:tc>
          <w:tcPr>
            <w:tcW w:w="1250" w:type="pct"/>
            <w:shd w:val="clear" w:color="auto" w:fill="auto"/>
            <w:noWrap/>
            <w:vAlign w:val="center"/>
            <w:hideMark/>
          </w:tcPr>
          <w:p w:rsidR="00090DAC" w:rsidRPr="001C25C4" w:rsidRDefault="00090DAC" w:rsidP="009E1089">
            <w:pPr>
              <w:jc w:val="center"/>
            </w:pPr>
            <w:r w:rsidRPr="001C25C4">
              <w:t>1145</w:t>
            </w:r>
          </w:p>
        </w:tc>
        <w:tc>
          <w:tcPr>
            <w:tcW w:w="1250" w:type="pct"/>
            <w:shd w:val="clear" w:color="auto" w:fill="auto"/>
            <w:noWrap/>
            <w:vAlign w:val="center"/>
          </w:tcPr>
          <w:p w:rsidR="00090DAC" w:rsidRPr="001C25C4" w:rsidRDefault="00090DAC" w:rsidP="009E1089">
            <w:pPr>
              <w:jc w:val="center"/>
            </w:pPr>
            <w:r w:rsidRPr="001C25C4">
              <w:t>100-110</w:t>
            </w:r>
          </w:p>
        </w:tc>
        <w:tc>
          <w:tcPr>
            <w:tcW w:w="1250" w:type="pct"/>
            <w:shd w:val="clear" w:color="auto" w:fill="auto"/>
            <w:noWrap/>
            <w:vAlign w:val="center"/>
          </w:tcPr>
          <w:p w:rsidR="00090DAC" w:rsidRPr="001C25C4" w:rsidRDefault="00090DAC" w:rsidP="009E1089">
            <w:pPr>
              <w:jc w:val="center"/>
            </w:pPr>
            <w:r w:rsidRPr="001C25C4">
              <w:t>53</w:t>
            </w:r>
          </w:p>
        </w:tc>
      </w:tr>
      <w:tr w:rsidR="00090DAC" w:rsidRPr="001C25C4" w:rsidTr="009E1089">
        <w:trPr>
          <w:trHeight w:val="356"/>
        </w:trPr>
        <w:tc>
          <w:tcPr>
            <w:tcW w:w="1250" w:type="pct"/>
            <w:shd w:val="clear" w:color="auto" w:fill="auto"/>
            <w:noWrap/>
            <w:vAlign w:val="center"/>
            <w:hideMark/>
          </w:tcPr>
          <w:p w:rsidR="00090DAC" w:rsidRPr="001C25C4" w:rsidRDefault="00090DAC" w:rsidP="009E1089">
            <w:pPr>
              <w:jc w:val="center"/>
            </w:pPr>
            <w:r w:rsidRPr="001C25C4">
              <w:t>40-50</w:t>
            </w:r>
          </w:p>
        </w:tc>
        <w:tc>
          <w:tcPr>
            <w:tcW w:w="1250" w:type="pct"/>
            <w:shd w:val="clear" w:color="auto" w:fill="auto"/>
            <w:noWrap/>
            <w:vAlign w:val="center"/>
            <w:hideMark/>
          </w:tcPr>
          <w:p w:rsidR="00090DAC" w:rsidRPr="001C25C4" w:rsidRDefault="00090DAC" w:rsidP="009E1089">
            <w:pPr>
              <w:jc w:val="center"/>
            </w:pPr>
            <w:r w:rsidRPr="001C25C4">
              <w:t>1557</w:t>
            </w:r>
          </w:p>
        </w:tc>
        <w:tc>
          <w:tcPr>
            <w:tcW w:w="1250" w:type="pct"/>
            <w:shd w:val="clear" w:color="auto" w:fill="auto"/>
            <w:noWrap/>
            <w:vAlign w:val="center"/>
            <w:hideMark/>
          </w:tcPr>
          <w:p w:rsidR="00090DAC" w:rsidRPr="001C25C4" w:rsidRDefault="00090DAC" w:rsidP="009E1089">
            <w:pPr>
              <w:jc w:val="center"/>
            </w:pPr>
            <w:r w:rsidRPr="001C25C4">
              <w:rPr>
                <w:lang w:eastAsia="zh-CN"/>
              </w:rPr>
              <w:t>110-120</w:t>
            </w:r>
          </w:p>
        </w:tc>
        <w:tc>
          <w:tcPr>
            <w:tcW w:w="1250" w:type="pct"/>
            <w:shd w:val="clear" w:color="auto" w:fill="auto"/>
            <w:noWrap/>
            <w:vAlign w:val="center"/>
            <w:hideMark/>
          </w:tcPr>
          <w:p w:rsidR="00090DAC" w:rsidRPr="001C25C4" w:rsidRDefault="00090DAC" w:rsidP="009E1089">
            <w:pPr>
              <w:jc w:val="center"/>
            </w:pPr>
            <w:r w:rsidRPr="001C25C4">
              <w:t>23</w:t>
            </w:r>
          </w:p>
        </w:tc>
      </w:tr>
      <w:tr w:rsidR="00090DAC" w:rsidRPr="001C25C4" w:rsidTr="009E1089">
        <w:trPr>
          <w:trHeight w:val="356"/>
        </w:trPr>
        <w:tc>
          <w:tcPr>
            <w:tcW w:w="1250" w:type="pct"/>
            <w:shd w:val="clear" w:color="auto" w:fill="auto"/>
            <w:noWrap/>
            <w:vAlign w:val="center"/>
          </w:tcPr>
          <w:p w:rsidR="00090DAC" w:rsidRPr="001C25C4" w:rsidRDefault="00090DAC" w:rsidP="009E1089">
            <w:pPr>
              <w:jc w:val="center"/>
            </w:pPr>
            <w:r w:rsidRPr="001C25C4">
              <w:t>50-60</w:t>
            </w:r>
          </w:p>
        </w:tc>
        <w:tc>
          <w:tcPr>
            <w:tcW w:w="1250" w:type="pct"/>
            <w:shd w:val="clear" w:color="auto" w:fill="auto"/>
            <w:noWrap/>
            <w:vAlign w:val="center"/>
          </w:tcPr>
          <w:p w:rsidR="00090DAC" w:rsidRPr="001C25C4" w:rsidRDefault="00090DAC" w:rsidP="009E1089">
            <w:pPr>
              <w:jc w:val="center"/>
            </w:pPr>
            <w:r w:rsidRPr="001C25C4">
              <w:t>800</w:t>
            </w:r>
          </w:p>
        </w:tc>
        <w:tc>
          <w:tcPr>
            <w:tcW w:w="1250" w:type="pct"/>
            <w:shd w:val="clear" w:color="auto" w:fill="auto"/>
            <w:noWrap/>
            <w:vAlign w:val="center"/>
          </w:tcPr>
          <w:p w:rsidR="00090DAC" w:rsidRPr="001C25C4" w:rsidRDefault="00090DAC" w:rsidP="009E1089">
            <w:pPr>
              <w:jc w:val="center"/>
              <w:rPr>
                <w:lang w:eastAsia="zh-CN"/>
              </w:rPr>
            </w:pPr>
            <w:r w:rsidRPr="001C25C4">
              <w:rPr>
                <w:lang w:eastAsia="zh-CN"/>
              </w:rPr>
              <w:t>120-130</w:t>
            </w:r>
          </w:p>
        </w:tc>
        <w:tc>
          <w:tcPr>
            <w:tcW w:w="1250" w:type="pct"/>
            <w:shd w:val="clear" w:color="auto" w:fill="auto"/>
            <w:noWrap/>
            <w:vAlign w:val="center"/>
          </w:tcPr>
          <w:p w:rsidR="00090DAC" w:rsidRPr="001C25C4" w:rsidRDefault="00090DAC" w:rsidP="009E1089">
            <w:pPr>
              <w:jc w:val="center"/>
            </w:pPr>
            <w:r w:rsidRPr="001C25C4">
              <w:t>22</w:t>
            </w:r>
          </w:p>
        </w:tc>
      </w:tr>
      <w:tr w:rsidR="00090DAC" w:rsidRPr="001C25C4" w:rsidTr="009E1089">
        <w:trPr>
          <w:trHeight w:val="356"/>
        </w:trPr>
        <w:tc>
          <w:tcPr>
            <w:tcW w:w="1250" w:type="pct"/>
            <w:tcBorders>
              <w:bottom w:val="single" w:sz="12" w:space="0" w:color="auto"/>
            </w:tcBorders>
            <w:shd w:val="clear" w:color="auto" w:fill="auto"/>
            <w:noWrap/>
            <w:vAlign w:val="center"/>
          </w:tcPr>
          <w:p w:rsidR="00090DAC" w:rsidRPr="001C25C4" w:rsidRDefault="00090DAC" w:rsidP="009E1089">
            <w:pPr>
              <w:jc w:val="center"/>
            </w:pPr>
            <w:r w:rsidRPr="001C25C4">
              <w:t>60-70</w:t>
            </w:r>
          </w:p>
        </w:tc>
        <w:tc>
          <w:tcPr>
            <w:tcW w:w="1250" w:type="pct"/>
            <w:tcBorders>
              <w:bottom w:val="single" w:sz="12" w:space="0" w:color="auto"/>
            </w:tcBorders>
            <w:shd w:val="clear" w:color="auto" w:fill="auto"/>
            <w:noWrap/>
            <w:vAlign w:val="center"/>
          </w:tcPr>
          <w:p w:rsidR="00090DAC" w:rsidRPr="001C25C4" w:rsidRDefault="00090DAC" w:rsidP="009E1089">
            <w:pPr>
              <w:jc w:val="center"/>
            </w:pPr>
            <w:r w:rsidRPr="001C25C4">
              <w:t>378</w:t>
            </w:r>
          </w:p>
        </w:tc>
        <w:tc>
          <w:tcPr>
            <w:tcW w:w="1250" w:type="pct"/>
            <w:tcBorders>
              <w:bottom w:val="single" w:sz="12" w:space="0" w:color="auto"/>
            </w:tcBorders>
            <w:shd w:val="clear" w:color="auto" w:fill="auto"/>
            <w:noWrap/>
            <w:vAlign w:val="center"/>
          </w:tcPr>
          <w:p w:rsidR="00090DAC" w:rsidRPr="001C25C4" w:rsidRDefault="00090DAC" w:rsidP="009E1089">
            <w:pPr>
              <w:jc w:val="center"/>
              <w:rPr>
                <w:lang w:eastAsia="zh-CN"/>
              </w:rPr>
            </w:pPr>
            <w:r w:rsidRPr="001C25C4">
              <w:rPr>
                <w:lang w:eastAsia="zh-CN"/>
              </w:rPr>
              <w:t>130-140</w:t>
            </w:r>
          </w:p>
        </w:tc>
        <w:tc>
          <w:tcPr>
            <w:tcW w:w="1250" w:type="pct"/>
            <w:tcBorders>
              <w:bottom w:val="single" w:sz="12" w:space="0" w:color="auto"/>
            </w:tcBorders>
            <w:shd w:val="clear" w:color="auto" w:fill="auto"/>
            <w:noWrap/>
            <w:vAlign w:val="center"/>
          </w:tcPr>
          <w:p w:rsidR="00090DAC" w:rsidRPr="001C25C4" w:rsidRDefault="00090DAC" w:rsidP="009E1089">
            <w:pPr>
              <w:jc w:val="center"/>
            </w:pPr>
            <w:r w:rsidRPr="001C25C4">
              <w:t>9</w:t>
            </w:r>
          </w:p>
        </w:tc>
      </w:tr>
    </w:tbl>
    <w:p w:rsidR="001418A2" w:rsidRDefault="001418A2" w:rsidP="001418A2"/>
    <w:p w:rsidR="001418A2" w:rsidRDefault="001418A2" w:rsidP="001418A2">
      <w:pPr>
        <w:pStyle w:val="SectionHeadingLevel2"/>
      </w:pPr>
      <w:r>
        <w:t xml:space="preserve">2.2 </w:t>
      </w:r>
      <w:r w:rsidR="00CE58BA" w:rsidRPr="001C25C4">
        <w:t>Procedure</w:t>
      </w:r>
    </w:p>
    <w:p w:rsidR="00CE58BA" w:rsidRPr="00E15BD9" w:rsidRDefault="00CE58BA" w:rsidP="00CE58BA">
      <w:pPr>
        <w:rPr>
          <w:rFonts w:cs="Arial"/>
        </w:rPr>
      </w:pPr>
      <w:r w:rsidRPr="00E15BD9">
        <w:rPr>
          <w:rFonts w:cs="Arial"/>
        </w:rPr>
        <w:t xml:space="preserve">In this study, we adopt the following procedure to generate the experimental data which follow uniform distribution. </w:t>
      </w:r>
    </w:p>
    <w:p w:rsidR="00CE58BA" w:rsidRPr="00E15BD9" w:rsidRDefault="00CE58BA" w:rsidP="00CE58BA">
      <w:pPr>
        <w:rPr>
          <w:rFonts w:cs="Arial"/>
        </w:rPr>
      </w:pPr>
      <w:r w:rsidRPr="00E15BD9">
        <w:rPr>
          <w:rFonts w:cs="Arial"/>
        </w:rPr>
        <w:t xml:space="preserve">Suppose we have the </w:t>
      </w:r>
      <w:r w:rsidRPr="00E15BD9">
        <w:rPr>
          <w:rFonts w:cs="Arial"/>
          <w:i/>
        </w:rPr>
        <w:t>m</w:t>
      </w:r>
      <w:r w:rsidRPr="00E15BD9">
        <w:rPr>
          <w:rFonts w:cs="Arial"/>
        </w:rPr>
        <w:t xml:space="preserve"> speed - density samples: </w:t>
      </w:r>
      <w:r w:rsidRPr="00E15BD9">
        <w:rPr>
          <w:rFonts w:cs="Arial"/>
          <w:position w:val="-12"/>
        </w:rPr>
        <w:object w:dxaOrig="3560" w:dyaOrig="360">
          <v:shape id="_x0000_i1029" type="#_x0000_t75" style="width:177.75pt;height:18pt" o:ole="">
            <v:imagedata r:id="rId20" o:title=""/>
          </v:shape>
          <o:OLEObject Type="Embed" ProgID="Equation.DSMT4" ShapeID="_x0000_i1029" DrawAspect="Content" ObjectID="_1494401972" r:id="rId21"/>
        </w:object>
      </w:r>
      <w:r w:rsidRPr="00E15BD9">
        <w:rPr>
          <w:rFonts w:cs="Arial"/>
        </w:rPr>
        <w:t xml:space="preserve">.  </w:t>
      </w:r>
    </w:p>
    <w:p w:rsidR="00CE58BA" w:rsidRPr="00E15BD9" w:rsidRDefault="00CE58BA" w:rsidP="00CE58BA">
      <w:pPr>
        <w:rPr>
          <w:rFonts w:cs="Arial"/>
        </w:rPr>
      </w:pPr>
      <w:r w:rsidRPr="00E15BD9">
        <w:rPr>
          <w:rFonts w:cs="Arial"/>
        </w:rPr>
        <w:t xml:space="preserve">Step 1: Rank the samples in terms of their densities. We thus have </w:t>
      </w:r>
    </w:p>
    <w:p w:rsidR="00CE58BA" w:rsidRPr="00E15BD9" w:rsidRDefault="00CE58BA" w:rsidP="00CE58BA">
      <w:pPr>
        <w:pStyle w:val="MTDisplayEquation"/>
        <w:spacing w:line="240" w:lineRule="auto"/>
        <w:rPr>
          <w:rFonts w:ascii="Arial" w:hAnsi="Arial" w:cs="Arial"/>
        </w:rPr>
      </w:pPr>
      <w:r w:rsidRPr="00E15BD9">
        <w:rPr>
          <w:rFonts w:ascii="Arial" w:hAnsi="Arial" w:cs="Arial"/>
        </w:rPr>
        <w:tab/>
      </w:r>
      <w:r w:rsidRPr="00E15BD9">
        <w:rPr>
          <w:rFonts w:ascii="Arial" w:hAnsi="Arial" w:cs="Arial"/>
          <w:position w:val="-18"/>
        </w:rPr>
        <w:object w:dxaOrig="4599" w:dyaOrig="480">
          <v:shape id="_x0000_i1030" type="#_x0000_t75" style="width:229.5pt;height:23.25pt" o:ole="">
            <v:imagedata r:id="rId22" o:title=""/>
          </v:shape>
          <o:OLEObject Type="Embed" ProgID="Equation.DSMT4" ShapeID="_x0000_i1030" DrawAspect="Content" ObjectID="_1494401973" r:id="rId23"/>
        </w:object>
      </w:r>
      <w:r w:rsidRPr="00E15BD9">
        <w:rPr>
          <w:rFonts w:ascii="Arial" w:hAnsi="Arial" w:cs="Arial"/>
        </w:rPr>
        <w:t xml:space="preserve"> </w:t>
      </w:r>
      <w:r w:rsidRPr="00E15BD9">
        <w:rPr>
          <w:rFonts w:ascii="Arial" w:hAnsi="Arial" w:cs="Arial"/>
        </w:rPr>
        <w:tab/>
      </w:r>
      <w:r w:rsidRPr="00E15BD9">
        <w:rPr>
          <w:rFonts w:ascii="Arial" w:hAnsi="Arial" w:cs="Arial"/>
        </w:rPr>
        <w:fldChar w:fldCharType="begin"/>
      </w:r>
      <w:r w:rsidRPr="00E15BD9">
        <w:rPr>
          <w:rFonts w:ascii="Arial" w:hAnsi="Arial" w:cs="Arial"/>
        </w:rPr>
        <w:instrText xml:space="preserve"> MACROBUTTON MTPlaceRef \* MERGEFORMAT </w:instrText>
      </w:r>
      <w:r w:rsidRPr="00E15BD9">
        <w:rPr>
          <w:rFonts w:ascii="Arial" w:hAnsi="Arial" w:cs="Arial"/>
        </w:rPr>
        <w:fldChar w:fldCharType="begin"/>
      </w:r>
      <w:r w:rsidRPr="00E15BD9">
        <w:rPr>
          <w:rFonts w:ascii="Arial" w:hAnsi="Arial" w:cs="Arial"/>
        </w:rPr>
        <w:instrText xml:space="preserve"> SEQ MTEqn \h \* MERGEFORMAT </w:instrText>
      </w:r>
      <w:r w:rsidRPr="00E15BD9">
        <w:rPr>
          <w:rFonts w:ascii="Arial" w:hAnsi="Arial" w:cs="Arial"/>
        </w:rPr>
        <w:fldChar w:fldCharType="end"/>
      </w:r>
      <w:r w:rsidRPr="00E15BD9">
        <w:rPr>
          <w:rFonts w:ascii="Arial" w:hAnsi="Arial" w:cs="Arial"/>
        </w:rPr>
        <w:instrText>(</w:instrText>
      </w:r>
      <w:r w:rsidRPr="00E15BD9">
        <w:rPr>
          <w:rFonts w:ascii="Arial" w:hAnsi="Arial" w:cs="Arial"/>
        </w:rPr>
        <w:fldChar w:fldCharType="begin"/>
      </w:r>
      <w:r w:rsidRPr="00E15BD9">
        <w:rPr>
          <w:rFonts w:ascii="Arial" w:hAnsi="Arial" w:cs="Arial"/>
        </w:rPr>
        <w:instrText xml:space="preserve"> SEQ MTEqn \c \* Arabic \* MERGEFORMAT </w:instrText>
      </w:r>
      <w:r w:rsidRPr="00E15BD9">
        <w:rPr>
          <w:rFonts w:ascii="Arial" w:hAnsi="Arial" w:cs="Arial"/>
        </w:rPr>
        <w:fldChar w:fldCharType="separate"/>
      </w:r>
      <w:r w:rsidRPr="00E15BD9">
        <w:rPr>
          <w:rFonts w:ascii="Arial" w:hAnsi="Arial" w:cs="Arial"/>
          <w:noProof/>
        </w:rPr>
        <w:instrText>1</w:instrText>
      </w:r>
      <w:r w:rsidRPr="00E15BD9">
        <w:rPr>
          <w:rFonts w:ascii="Arial" w:hAnsi="Arial" w:cs="Arial"/>
          <w:noProof/>
        </w:rPr>
        <w:fldChar w:fldCharType="end"/>
      </w:r>
      <w:r w:rsidRPr="00E15BD9">
        <w:rPr>
          <w:rFonts w:ascii="Arial" w:hAnsi="Arial" w:cs="Arial"/>
        </w:rPr>
        <w:instrText>)</w:instrText>
      </w:r>
      <w:r w:rsidRPr="00E15BD9">
        <w:rPr>
          <w:rFonts w:ascii="Arial" w:hAnsi="Arial" w:cs="Arial"/>
        </w:rPr>
        <w:fldChar w:fldCharType="end"/>
      </w:r>
    </w:p>
    <w:p w:rsidR="00CE58BA" w:rsidRPr="00E15BD9" w:rsidRDefault="00CE58BA" w:rsidP="00CE58BA">
      <w:pPr>
        <w:rPr>
          <w:rFonts w:cs="Arial"/>
          <w:lang w:eastAsia="zh-CN"/>
        </w:rPr>
      </w:pPr>
      <w:r w:rsidRPr="00E15BD9">
        <w:rPr>
          <w:rFonts w:cs="Arial"/>
        </w:rPr>
        <w:t>where</w:t>
      </w:r>
      <w:r w:rsidRPr="00E15BD9">
        <w:rPr>
          <w:rFonts w:cs="Arial"/>
          <w:position w:val="-16"/>
        </w:rPr>
        <w:object w:dxaOrig="2860" w:dyaOrig="400">
          <v:shape id="_x0000_i1031" type="#_x0000_t75" style="width:142.5pt;height:20.25pt" o:ole="">
            <v:imagedata r:id="rId24" o:title=""/>
          </v:shape>
          <o:OLEObject Type="Embed" ProgID="Equation.DSMT4" ShapeID="_x0000_i1031" DrawAspect="Content" ObjectID="_1494401974" r:id="rId25"/>
        </w:object>
      </w:r>
      <w:r w:rsidRPr="00E15BD9">
        <w:rPr>
          <w:rFonts w:cs="Arial"/>
        </w:rPr>
        <w:t xml:space="preserve"> and </w:t>
      </w:r>
      <w:r w:rsidRPr="00E15BD9">
        <w:rPr>
          <w:rFonts w:cs="Arial"/>
          <w:position w:val="-16"/>
        </w:rPr>
        <w:object w:dxaOrig="320" w:dyaOrig="400">
          <v:shape id="_x0000_i1032" type="#_x0000_t75" style="width:16.5pt;height:20.25pt" o:ole="">
            <v:imagedata r:id="rId26" o:title=""/>
          </v:shape>
          <o:OLEObject Type="Embed" ProgID="Equation.DSMT4" ShapeID="_x0000_i1032" DrawAspect="Content" ObjectID="_1494401975" r:id="rId27"/>
        </w:object>
      </w:r>
      <w:r w:rsidRPr="00E15BD9">
        <w:rPr>
          <w:rFonts w:cs="Arial"/>
        </w:rPr>
        <w:t xml:space="preserve"> is the corresponding speed under traffic density of </w:t>
      </w:r>
      <w:r w:rsidRPr="00E15BD9">
        <w:rPr>
          <w:rFonts w:cs="Arial"/>
          <w:position w:val="-16"/>
        </w:rPr>
        <w:object w:dxaOrig="340" w:dyaOrig="400">
          <v:shape id="_x0000_i1033" type="#_x0000_t75" style="width:17.25pt;height:20.25pt" o:ole="">
            <v:imagedata r:id="rId28" o:title=""/>
          </v:shape>
          <o:OLEObject Type="Embed" ProgID="Equation.DSMT4" ShapeID="_x0000_i1033" DrawAspect="Content" ObjectID="_1494401976" r:id="rId29"/>
        </w:object>
      </w:r>
      <w:r w:rsidRPr="00E15BD9">
        <w:rPr>
          <w:rFonts w:cs="Arial"/>
        </w:rPr>
        <w:t xml:space="preserve">. </w:t>
      </w:r>
    </w:p>
    <w:p w:rsidR="00CE58BA" w:rsidRPr="00E15BD9" w:rsidRDefault="00CE58BA" w:rsidP="00CE58BA">
      <w:pPr>
        <w:rPr>
          <w:rFonts w:cs="Arial"/>
        </w:rPr>
      </w:pPr>
      <w:r w:rsidRPr="00E15BD9">
        <w:rPr>
          <w:rFonts w:cs="Arial"/>
        </w:rPr>
        <w:t>Step 2: Determine the total number of intervals through the whole database as considered each interval with a span of 10. That is</w:t>
      </w:r>
    </w:p>
    <w:p w:rsidR="00CE58BA" w:rsidRPr="00E15BD9" w:rsidRDefault="00CE58BA" w:rsidP="00CE58BA">
      <w:pPr>
        <w:pStyle w:val="MTDisplayEquation"/>
        <w:spacing w:line="240" w:lineRule="auto"/>
        <w:rPr>
          <w:rFonts w:ascii="Arial" w:hAnsi="Arial" w:cs="Arial"/>
        </w:rPr>
      </w:pPr>
      <w:r w:rsidRPr="00E15BD9">
        <w:rPr>
          <w:rFonts w:ascii="Arial" w:hAnsi="Arial" w:cs="Arial"/>
        </w:rPr>
        <w:tab/>
      </w:r>
      <w:r w:rsidRPr="00E15BD9">
        <w:rPr>
          <w:rFonts w:ascii="Arial" w:hAnsi="Arial" w:cs="Arial"/>
          <w:position w:val="-28"/>
        </w:rPr>
        <w:object w:dxaOrig="1680" w:dyaOrig="680">
          <v:shape id="_x0000_i1034" type="#_x0000_t75" style="width:84pt;height:34.5pt" o:ole="">
            <v:imagedata r:id="rId30" o:title=""/>
          </v:shape>
          <o:OLEObject Type="Embed" ProgID="Equation.DSMT4" ShapeID="_x0000_i1034" DrawAspect="Content" ObjectID="_1494401977" r:id="rId31"/>
        </w:object>
      </w:r>
      <w:r w:rsidRPr="00E15BD9">
        <w:rPr>
          <w:rFonts w:ascii="Arial" w:hAnsi="Arial" w:cs="Arial"/>
        </w:rPr>
        <w:t xml:space="preserve"> </w:t>
      </w:r>
      <w:r w:rsidRPr="00E15BD9">
        <w:rPr>
          <w:rFonts w:ascii="Arial" w:hAnsi="Arial" w:cs="Arial"/>
        </w:rPr>
        <w:tab/>
      </w:r>
      <w:r w:rsidRPr="00E15BD9">
        <w:rPr>
          <w:rFonts w:ascii="Arial" w:hAnsi="Arial" w:cs="Arial"/>
        </w:rPr>
        <w:fldChar w:fldCharType="begin"/>
      </w:r>
      <w:r w:rsidRPr="00E15BD9">
        <w:rPr>
          <w:rFonts w:ascii="Arial" w:hAnsi="Arial" w:cs="Arial"/>
        </w:rPr>
        <w:instrText xml:space="preserve"> MACROBUTTON MTPlaceRef \* MERGEFORMAT </w:instrText>
      </w:r>
      <w:r w:rsidRPr="00E15BD9">
        <w:rPr>
          <w:rFonts w:ascii="Arial" w:hAnsi="Arial" w:cs="Arial"/>
        </w:rPr>
        <w:fldChar w:fldCharType="begin"/>
      </w:r>
      <w:r w:rsidRPr="00E15BD9">
        <w:rPr>
          <w:rFonts w:ascii="Arial" w:hAnsi="Arial" w:cs="Arial"/>
        </w:rPr>
        <w:instrText xml:space="preserve"> SEQ MTEqn \h \* MERGEFORMAT </w:instrText>
      </w:r>
      <w:r w:rsidRPr="00E15BD9">
        <w:rPr>
          <w:rFonts w:ascii="Arial" w:hAnsi="Arial" w:cs="Arial"/>
        </w:rPr>
        <w:fldChar w:fldCharType="end"/>
      </w:r>
      <w:r w:rsidRPr="00E15BD9">
        <w:rPr>
          <w:rFonts w:ascii="Arial" w:hAnsi="Arial" w:cs="Arial"/>
        </w:rPr>
        <w:instrText>(</w:instrText>
      </w:r>
      <w:r w:rsidRPr="00E15BD9">
        <w:rPr>
          <w:rFonts w:ascii="Arial" w:hAnsi="Arial" w:cs="Arial"/>
        </w:rPr>
        <w:fldChar w:fldCharType="begin"/>
      </w:r>
      <w:r w:rsidRPr="00E15BD9">
        <w:rPr>
          <w:rFonts w:ascii="Arial" w:hAnsi="Arial" w:cs="Arial"/>
        </w:rPr>
        <w:instrText xml:space="preserve"> SEQ MTEqn \c \* Arabic \* MERGEFORMAT </w:instrText>
      </w:r>
      <w:r w:rsidRPr="00E15BD9">
        <w:rPr>
          <w:rFonts w:ascii="Arial" w:hAnsi="Arial" w:cs="Arial"/>
        </w:rPr>
        <w:fldChar w:fldCharType="separate"/>
      </w:r>
      <w:r w:rsidRPr="00E15BD9">
        <w:rPr>
          <w:rFonts w:ascii="Arial" w:hAnsi="Arial" w:cs="Arial"/>
          <w:noProof/>
        </w:rPr>
        <w:instrText>2</w:instrText>
      </w:r>
      <w:r w:rsidRPr="00E15BD9">
        <w:rPr>
          <w:rFonts w:ascii="Arial" w:hAnsi="Arial" w:cs="Arial"/>
          <w:noProof/>
        </w:rPr>
        <w:fldChar w:fldCharType="end"/>
      </w:r>
      <w:r w:rsidRPr="00E15BD9">
        <w:rPr>
          <w:rFonts w:ascii="Arial" w:hAnsi="Arial" w:cs="Arial"/>
        </w:rPr>
        <w:instrText>)</w:instrText>
      </w:r>
      <w:r w:rsidRPr="00E15BD9">
        <w:rPr>
          <w:rFonts w:ascii="Arial" w:hAnsi="Arial" w:cs="Arial"/>
        </w:rPr>
        <w:fldChar w:fldCharType="end"/>
      </w:r>
    </w:p>
    <w:p w:rsidR="00CE58BA" w:rsidRPr="00E15BD9" w:rsidRDefault="00CE58BA" w:rsidP="00CE58BA">
      <w:pPr>
        <w:jc w:val="left"/>
        <w:rPr>
          <w:rFonts w:cs="Arial"/>
        </w:rPr>
      </w:pPr>
      <w:r w:rsidRPr="00E15BD9">
        <w:rPr>
          <w:rFonts w:cs="Arial"/>
        </w:rPr>
        <w:t xml:space="preserve">where </w:t>
      </w:r>
      <w:r w:rsidRPr="00E15BD9">
        <w:rPr>
          <w:rFonts w:cs="Arial"/>
          <w:position w:val="-6"/>
        </w:rPr>
        <w:object w:dxaOrig="220" w:dyaOrig="340">
          <v:shape id="_x0000_i1035" type="#_x0000_t75" style="width:11.25pt;height:17.25pt" o:ole="">
            <v:imagedata r:id="rId32" o:title=""/>
          </v:shape>
          <o:OLEObject Type="Embed" ProgID="Equation.3" ShapeID="_x0000_i1035" DrawAspect="Content" ObjectID="_1494401978" r:id="rId33"/>
        </w:object>
      </w:r>
      <w:r w:rsidRPr="00E15BD9">
        <w:rPr>
          <w:rFonts w:cs="Arial"/>
        </w:rPr>
        <w:t xml:space="preserve"> returns the value of a number rounded upwards to the nearest integer.</w:t>
      </w:r>
    </w:p>
    <w:p w:rsidR="00CE58BA" w:rsidRPr="00E15BD9" w:rsidRDefault="00CE58BA" w:rsidP="00CE58BA">
      <w:pPr>
        <w:jc w:val="left"/>
        <w:rPr>
          <w:rFonts w:cs="Arial"/>
        </w:rPr>
      </w:pPr>
      <w:r w:rsidRPr="00E15BD9">
        <w:rPr>
          <w:rFonts w:cs="Arial"/>
        </w:rPr>
        <w:t xml:space="preserve">Step 3: Find the ranges of each intervals as </w:t>
      </w:r>
    </w:p>
    <w:p w:rsidR="00CE58BA" w:rsidRPr="00E15BD9" w:rsidRDefault="00CE58BA" w:rsidP="00CE58BA">
      <w:pPr>
        <w:pStyle w:val="MTDisplayEquation"/>
        <w:spacing w:line="240" w:lineRule="auto"/>
        <w:rPr>
          <w:rFonts w:ascii="Arial" w:hAnsi="Arial" w:cs="Arial"/>
        </w:rPr>
      </w:pPr>
      <w:r w:rsidRPr="00E15BD9">
        <w:rPr>
          <w:rFonts w:ascii="Arial" w:hAnsi="Arial" w:cs="Arial"/>
        </w:rPr>
        <w:tab/>
      </w:r>
      <w:r w:rsidRPr="00E15BD9">
        <w:rPr>
          <w:rFonts w:ascii="Arial" w:hAnsi="Arial" w:cs="Arial"/>
          <w:position w:val="-28"/>
        </w:rPr>
        <w:object w:dxaOrig="2920" w:dyaOrig="680">
          <v:shape id="_x0000_i1036" type="#_x0000_t75" style="width:145.5pt;height:33.75pt" o:ole="">
            <v:imagedata r:id="rId34" o:title=""/>
          </v:shape>
          <o:OLEObject Type="Embed" ProgID="Equation.DSMT4" ShapeID="_x0000_i1036" DrawAspect="Content" ObjectID="_1494401979" r:id="rId35"/>
        </w:object>
      </w:r>
      <w:r w:rsidRPr="00E15BD9">
        <w:rPr>
          <w:rFonts w:ascii="Arial" w:hAnsi="Arial" w:cs="Arial"/>
        </w:rPr>
        <w:t xml:space="preserve"> </w:t>
      </w:r>
      <w:r w:rsidRPr="00E15BD9">
        <w:rPr>
          <w:rFonts w:ascii="Arial" w:hAnsi="Arial" w:cs="Arial"/>
        </w:rPr>
        <w:tab/>
      </w:r>
      <w:r w:rsidRPr="00E15BD9">
        <w:rPr>
          <w:rFonts w:ascii="Arial" w:hAnsi="Arial" w:cs="Arial"/>
        </w:rPr>
        <w:fldChar w:fldCharType="begin"/>
      </w:r>
      <w:r w:rsidRPr="00E15BD9">
        <w:rPr>
          <w:rFonts w:ascii="Arial" w:hAnsi="Arial" w:cs="Arial"/>
        </w:rPr>
        <w:instrText xml:space="preserve"> MACROBUTTON MTPlaceRef \* MERGEFORMAT </w:instrText>
      </w:r>
      <w:r w:rsidRPr="00E15BD9">
        <w:rPr>
          <w:rFonts w:ascii="Arial" w:hAnsi="Arial" w:cs="Arial"/>
        </w:rPr>
        <w:fldChar w:fldCharType="begin"/>
      </w:r>
      <w:r w:rsidRPr="00E15BD9">
        <w:rPr>
          <w:rFonts w:ascii="Arial" w:hAnsi="Arial" w:cs="Arial"/>
        </w:rPr>
        <w:instrText xml:space="preserve"> SEQ MTEqn \h \* MERGEFORMAT </w:instrText>
      </w:r>
      <w:r w:rsidRPr="00E15BD9">
        <w:rPr>
          <w:rFonts w:ascii="Arial" w:hAnsi="Arial" w:cs="Arial"/>
        </w:rPr>
        <w:fldChar w:fldCharType="end"/>
      </w:r>
      <w:r w:rsidRPr="00E15BD9">
        <w:rPr>
          <w:rFonts w:ascii="Arial" w:hAnsi="Arial" w:cs="Arial"/>
        </w:rPr>
        <w:instrText>(</w:instrText>
      </w:r>
      <w:r w:rsidRPr="00E15BD9">
        <w:rPr>
          <w:rFonts w:ascii="Arial" w:hAnsi="Arial" w:cs="Arial"/>
        </w:rPr>
        <w:fldChar w:fldCharType="begin"/>
      </w:r>
      <w:r w:rsidRPr="00E15BD9">
        <w:rPr>
          <w:rFonts w:ascii="Arial" w:hAnsi="Arial" w:cs="Arial"/>
        </w:rPr>
        <w:instrText xml:space="preserve"> SEQ MTEqn \c \* Arabic \* MERGEFORMAT </w:instrText>
      </w:r>
      <w:r w:rsidRPr="00E15BD9">
        <w:rPr>
          <w:rFonts w:ascii="Arial" w:hAnsi="Arial" w:cs="Arial"/>
        </w:rPr>
        <w:fldChar w:fldCharType="separate"/>
      </w:r>
      <w:r w:rsidRPr="00E15BD9">
        <w:rPr>
          <w:rFonts w:ascii="Arial" w:hAnsi="Arial" w:cs="Arial"/>
          <w:noProof/>
        </w:rPr>
        <w:instrText>3</w:instrText>
      </w:r>
      <w:r w:rsidRPr="00E15BD9">
        <w:rPr>
          <w:rFonts w:ascii="Arial" w:hAnsi="Arial" w:cs="Arial"/>
          <w:noProof/>
        </w:rPr>
        <w:fldChar w:fldCharType="end"/>
      </w:r>
      <w:r w:rsidRPr="00E15BD9">
        <w:rPr>
          <w:rFonts w:ascii="Arial" w:hAnsi="Arial" w:cs="Arial"/>
        </w:rPr>
        <w:instrText>)</w:instrText>
      </w:r>
      <w:r w:rsidRPr="00E15BD9">
        <w:rPr>
          <w:rFonts w:ascii="Arial" w:hAnsi="Arial" w:cs="Arial"/>
        </w:rPr>
        <w:fldChar w:fldCharType="end"/>
      </w:r>
    </w:p>
    <w:p w:rsidR="00CE58BA" w:rsidRPr="00E15BD9" w:rsidRDefault="00CE58BA" w:rsidP="00CE58BA">
      <w:pPr>
        <w:rPr>
          <w:rFonts w:cs="Arial"/>
        </w:rPr>
      </w:pPr>
      <w:r w:rsidRPr="00E15BD9">
        <w:rPr>
          <w:rFonts w:cs="Arial"/>
        </w:rPr>
        <w:t>and count the number of points in each interval.</w:t>
      </w:r>
    </w:p>
    <w:p w:rsidR="00CE58BA" w:rsidRPr="00E15BD9" w:rsidRDefault="00CE58BA" w:rsidP="00CE58BA">
      <w:pPr>
        <w:rPr>
          <w:rFonts w:cs="Arial"/>
        </w:rPr>
      </w:pPr>
      <w:r w:rsidRPr="00E15BD9">
        <w:rPr>
          <w:rFonts w:cs="Arial"/>
        </w:rPr>
        <w:t>Step 4: Using Monte Carlo theory, generate a uniform random variable percentile between 0 and 1, and then find its accurate value of density according to its percentile in each interval.</w:t>
      </w:r>
    </w:p>
    <w:p w:rsidR="00CE58BA" w:rsidRPr="00E15BD9" w:rsidRDefault="001D19DD" w:rsidP="00CE58BA">
      <w:pPr>
        <w:rPr>
          <w:rFonts w:cs="Arial"/>
        </w:rPr>
      </w:pPr>
      <w:r>
        <w:rPr>
          <w:rFonts w:cs="Arial"/>
        </w:rPr>
        <w:t xml:space="preserve">Step </w:t>
      </w:r>
      <w:r w:rsidR="00CE58BA" w:rsidRPr="00E15BD9">
        <w:rPr>
          <w:rFonts w:cs="Arial"/>
        </w:rPr>
        <w:t xml:space="preserve">5: Repeat step 4 until you have 50 points in each interval. Then, find their corresponding speeds under each traffic density to create the new uniform data sampling. </w:t>
      </w:r>
    </w:p>
    <w:p w:rsidR="001418A2" w:rsidRDefault="001418A2" w:rsidP="001418A2">
      <w:pPr>
        <w:pStyle w:val="SectionHeadingLevel1"/>
      </w:pPr>
      <w:r>
        <w:t xml:space="preserve">3. </w:t>
      </w:r>
      <w:r w:rsidR="00CE58BA" w:rsidRPr="00CE58BA">
        <w:rPr>
          <w:rFonts w:ascii="Times New Roman" w:eastAsia="SimSun" w:hAnsi="Times New Roman"/>
          <w:b w:val="0"/>
          <w:sz w:val="24"/>
          <w:szCs w:val="24"/>
          <w:lang w:eastAsia="en-US"/>
        </w:rPr>
        <w:t xml:space="preserve"> </w:t>
      </w:r>
      <w:r w:rsidR="00CE58BA" w:rsidRPr="00CE58BA">
        <w:t>Results</w:t>
      </w:r>
    </w:p>
    <w:p w:rsidR="00CE58BA" w:rsidRPr="00CE58BA" w:rsidRDefault="00CE58BA" w:rsidP="00CE58BA">
      <w:r w:rsidRPr="00CE58BA">
        <w:t xml:space="preserve">The four two-parameter speed-density models are listed in Table 1: Greenshields model (Greenshields et al., 1935), Greenberg model (Greenberg, 1959), Underwood model (Underwood, 1961) and Northwestern model (Drake et al., 1967) have been calibrated by least square method and the results are shown in Figure 3. The red dots are random uniform </w:t>
      </w:r>
      <w:r w:rsidRPr="00CE58BA">
        <w:lastRenderedPageBreak/>
        <w:t>experimental data; the solid line represents the models calibrated by LSM. By contrast, quantitative comparisons will be reported in the next section.</w:t>
      </w:r>
    </w:p>
    <w:p w:rsidR="00CE58BA" w:rsidRPr="00CE58BA" w:rsidRDefault="00CE58BA" w:rsidP="00CE58BA">
      <w:pPr>
        <w:rPr>
          <w:lang w:val="en-US"/>
        </w:rPr>
      </w:pPr>
    </w:p>
    <w:p w:rsidR="00CE58BA" w:rsidRDefault="00CE58BA" w:rsidP="00CE58BA">
      <w:pPr>
        <w:jc w:val="left"/>
      </w:pPr>
      <w:r w:rsidRPr="00CE58BA">
        <w:rPr>
          <w:b/>
          <w:lang w:val="en-US"/>
        </w:rPr>
        <w:t>Figure 3</w:t>
      </w:r>
      <w:r>
        <w:rPr>
          <w:b/>
          <w:lang w:val="en-US"/>
        </w:rPr>
        <w:t>:</w:t>
      </w:r>
      <w:r w:rsidRPr="00CE58BA">
        <w:rPr>
          <w:lang w:val="en-US"/>
        </w:rPr>
        <w:t xml:space="preserve"> Performances of two parameter models under experimental</w:t>
      </w:r>
      <w:r w:rsidRPr="00CE58BA">
        <w:t xml:space="preserve"> database</w:t>
      </w:r>
    </w:p>
    <w:p w:rsidR="00CE58BA" w:rsidRPr="00CE58BA" w:rsidRDefault="00CE58BA" w:rsidP="00867AC6">
      <w:pPr>
        <w:jc w:val="left"/>
      </w:pPr>
      <w:r w:rsidRPr="00CE58BA">
        <w:rPr>
          <w:noProof/>
          <w:lang w:eastAsia="zh-CN"/>
        </w:rPr>
        <w:drawing>
          <wp:inline distT="0" distB="0" distL="0" distR="0" wp14:anchorId="16DD963D" wp14:editId="4DD97136">
            <wp:extent cx="4953000" cy="3544990"/>
            <wp:effectExtent l="0" t="0" r="0" b="0"/>
            <wp:docPr id="2" name="Picture 2" descr="C:\Users\s2809557\Desktop\theses\week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2809557\Desktop\theses\week2\1.jpg"/>
                    <pic:cNvPicPr>
                      <a:picLocks noChangeAspect="1" noChangeArrowheads="1"/>
                    </pic:cNvPicPr>
                  </pic:nvPicPr>
                  <pic:blipFill rotWithShape="1">
                    <a:blip r:embed="rId36">
                      <a:extLst>
                        <a:ext uri="{28A0092B-C50C-407E-A947-70E740481C1C}">
                          <a14:useLocalDpi xmlns:a14="http://schemas.microsoft.com/office/drawing/2010/main" val="0"/>
                        </a:ext>
                      </a:extLst>
                    </a:blip>
                    <a:srcRect t="4570" r="-40"/>
                    <a:stretch/>
                  </pic:blipFill>
                  <pic:spPr bwMode="auto">
                    <a:xfrm>
                      <a:off x="0" y="0"/>
                      <a:ext cx="4960946" cy="3550677"/>
                    </a:xfrm>
                    <a:prstGeom prst="rect">
                      <a:avLst/>
                    </a:prstGeom>
                    <a:noFill/>
                    <a:ln>
                      <a:noFill/>
                    </a:ln>
                    <a:extLst>
                      <a:ext uri="{53640926-AAD7-44D8-BBD7-CCE9431645EC}">
                        <a14:shadowObscured xmlns:a14="http://schemas.microsoft.com/office/drawing/2010/main"/>
                      </a:ext>
                    </a:extLst>
                  </pic:spPr>
                </pic:pic>
              </a:graphicData>
            </a:graphic>
          </wp:inline>
        </w:drawing>
      </w:r>
    </w:p>
    <w:p w:rsidR="00CE58BA" w:rsidRPr="00CE58BA" w:rsidRDefault="00CE58BA" w:rsidP="00CE58BA">
      <w:pPr>
        <w:rPr>
          <w:lang w:val="en-US"/>
        </w:rPr>
      </w:pPr>
      <w:r w:rsidRPr="00CE58BA">
        <w:t>From the graph, all the models perform better than those in Figure 1, especially for the Greenberg Model which performs not well in Figure 1 but almost as well as others in Figure 3.</w:t>
      </w:r>
    </w:p>
    <w:p w:rsidR="001418A2" w:rsidRDefault="001418A2" w:rsidP="001418A2">
      <w:pPr>
        <w:pStyle w:val="SectionHeadingLevel2"/>
      </w:pPr>
      <w:r>
        <w:t xml:space="preserve">3.1 </w:t>
      </w:r>
      <w:r w:rsidR="00CE58BA" w:rsidRPr="00CE58BA">
        <w:t>Discussion</w:t>
      </w:r>
    </w:p>
    <w:p w:rsidR="00CE58BA" w:rsidRPr="00CE58BA" w:rsidRDefault="00CE58BA" w:rsidP="00CE58BA">
      <w:pPr>
        <w:rPr>
          <w:lang w:val="en-US"/>
        </w:rPr>
      </w:pPr>
      <w:r w:rsidRPr="00CE58BA">
        <w:t xml:space="preserve">As the four two parameter speed-density models have been calibrated under the uniform data sample, model validation is provided to directly show the validations regarding all the models. </w:t>
      </w:r>
      <w:r w:rsidRPr="00CE58BA">
        <w:rPr>
          <w:lang w:val="en-US"/>
        </w:rPr>
        <w:t>In order to have a clear view of the results, the results have been divided into fourteen ranges by the value of densities.</w:t>
      </w:r>
    </w:p>
    <w:p w:rsidR="00CE58BA" w:rsidRDefault="00CE58BA" w:rsidP="00CE58BA">
      <w:pPr>
        <w:pStyle w:val="SectionHeadingLevel3"/>
      </w:pPr>
      <w:r>
        <w:t xml:space="preserve">3.1.1. </w:t>
      </w:r>
      <w:r w:rsidRPr="00CE58BA">
        <w:t>Mean square error (MSE)</w:t>
      </w:r>
    </w:p>
    <w:p w:rsidR="00CE58BA" w:rsidRPr="001C25C4" w:rsidRDefault="00CE58BA" w:rsidP="00CE58BA">
      <w:r w:rsidRPr="001C25C4">
        <w:t>The mean squared error (MSE) of a sample measures the average of the squares of the difference between the predicted value and the empirical data (</w:t>
      </w:r>
      <w:r>
        <w:t>Lehmann and</w:t>
      </w:r>
      <w:r w:rsidRPr="001C25C4">
        <w:t xml:space="preserve"> George, 1998). The formula is shown below,</w:t>
      </w:r>
    </w:p>
    <w:p w:rsidR="00CE58BA" w:rsidRPr="001C25C4" w:rsidRDefault="00CE58BA" w:rsidP="00CE58BA">
      <w:pPr>
        <w:pStyle w:val="MTDisplayEquation"/>
        <w:spacing w:line="360" w:lineRule="auto"/>
      </w:pPr>
    </w:p>
    <w:p w:rsidR="00CE58BA" w:rsidRPr="001C25C4" w:rsidRDefault="00CE58BA" w:rsidP="00CE58BA">
      <w:pPr>
        <w:pStyle w:val="MTDisplayEquation"/>
        <w:spacing w:line="360" w:lineRule="auto"/>
      </w:pPr>
      <w:r w:rsidRPr="001C25C4">
        <w:tab/>
      </w:r>
      <w:r w:rsidRPr="001C25C4">
        <w:rPr>
          <w:position w:val="-28"/>
        </w:rPr>
        <w:object w:dxaOrig="2100" w:dyaOrig="680">
          <v:shape id="_x0000_i1037" type="#_x0000_t75" style="width:105.75pt;height:33.75pt" o:ole="">
            <v:imagedata r:id="rId37" o:title=""/>
          </v:shape>
          <o:OLEObject Type="Embed" ProgID="Equation.DSMT4" ShapeID="_x0000_i1037" DrawAspect="Content" ObjectID="_1494401980" r:id="rId38"/>
        </w:object>
      </w:r>
      <w:r w:rsidRPr="001C25C4">
        <w:t xml:space="preserve"> </w:t>
      </w:r>
      <w:r w:rsidRPr="001C25C4">
        <w:tab/>
      </w:r>
      <w:r w:rsidRPr="001C25C4">
        <w:fldChar w:fldCharType="begin"/>
      </w:r>
      <w:r w:rsidRPr="001C25C4">
        <w:instrText xml:space="preserve"> MACROBUTTON MTPlaceRef \* MERGEFORMAT </w:instrText>
      </w:r>
      <w:r w:rsidRPr="001C25C4">
        <w:fldChar w:fldCharType="begin"/>
      </w:r>
      <w:r w:rsidRPr="001C25C4">
        <w:instrText xml:space="preserve"> SEQ MTEqn \h \* MERGEFORMAT </w:instrText>
      </w:r>
      <w:r w:rsidRPr="001C25C4">
        <w:fldChar w:fldCharType="end"/>
      </w:r>
      <w:r w:rsidRPr="001C25C4">
        <w:instrText>(</w:instrText>
      </w:r>
      <w:r w:rsidR="00E90138">
        <w:fldChar w:fldCharType="begin"/>
      </w:r>
      <w:r w:rsidR="00E90138">
        <w:instrText xml:space="preserve"> SEQ MTEqn \c \* Arabic \* MERGEFORMAT </w:instrText>
      </w:r>
      <w:r w:rsidR="00E90138">
        <w:fldChar w:fldCharType="separate"/>
      </w:r>
      <w:r>
        <w:rPr>
          <w:noProof/>
        </w:rPr>
        <w:instrText>4</w:instrText>
      </w:r>
      <w:r w:rsidR="00E90138">
        <w:rPr>
          <w:noProof/>
        </w:rPr>
        <w:fldChar w:fldCharType="end"/>
      </w:r>
      <w:r w:rsidRPr="001C25C4">
        <w:instrText>)</w:instrText>
      </w:r>
      <w:r w:rsidRPr="001C25C4">
        <w:fldChar w:fldCharType="end"/>
      </w:r>
    </w:p>
    <w:p w:rsidR="00CE58BA" w:rsidRPr="001C25C4" w:rsidRDefault="00CE58BA" w:rsidP="00CE58BA">
      <w:pPr>
        <w:rPr>
          <w:lang w:eastAsia="zh-CN"/>
        </w:rPr>
      </w:pPr>
      <w:r w:rsidRPr="001C25C4">
        <w:t xml:space="preserve">where </w:t>
      </w:r>
      <w:r w:rsidRPr="001C25C4">
        <w:rPr>
          <w:position w:val="-12"/>
        </w:rPr>
        <w:object w:dxaOrig="220" w:dyaOrig="360">
          <v:shape id="_x0000_i1038" type="#_x0000_t75" style="width:11.25pt;height:17.25pt" o:ole="">
            <v:imagedata r:id="rId39" o:title=""/>
          </v:shape>
          <o:OLEObject Type="Embed" ProgID="Equation.DSMT4" ShapeID="_x0000_i1038" DrawAspect="Content" ObjectID="_1494401981" r:id="rId40"/>
        </w:object>
      </w:r>
      <w:r w:rsidRPr="001C25C4">
        <w:t xml:space="preserve">is the </w:t>
      </w:r>
      <w:r w:rsidRPr="001C25C4">
        <w:rPr>
          <w:lang w:eastAsia="zh-CN"/>
        </w:rPr>
        <w:t xml:space="preserve">value predicted by the model, </w:t>
      </w:r>
      <w:r w:rsidRPr="001C25C4">
        <w:rPr>
          <w:position w:val="-12"/>
        </w:rPr>
        <w:object w:dxaOrig="220" w:dyaOrig="360">
          <v:shape id="_x0000_i1039" type="#_x0000_t75" style="width:11.25pt;height:17.25pt" o:ole="">
            <v:imagedata r:id="rId41" o:title=""/>
          </v:shape>
          <o:OLEObject Type="Embed" ProgID="Equation.DSMT4" ShapeID="_x0000_i1039" DrawAspect="Content" ObjectID="_1494401982" r:id="rId42"/>
        </w:object>
      </w:r>
      <w:r w:rsidRPr="001C25C4">
        <w:rPr>
          <w:lang w:eastAsia="zh-CN"/>
        </w:rPr>
        <w:t xml:space="preserve"> is the actual data, and </w:t>
      </w:r>
      <w:r w:rsidRPr="001C25C4">
        <w:rPr>
          <w:i/>
          <w:iCs/>
          <w:lang w:eastAsia="zh-CN"/>
        </w:rPr>
        <w:t xml:space="preserve"> n </w:t>
      </w:r>
      <w:r w:rsidRPr="001C25C4">
        <w:rPr>
          <w:lang w:eastAsia="zh-CN"/>
        </w:rPr>
        <w:t>is the number of observations in a range.  The results are present in Table 3.</w:t>
      </w:r>
    </w:p>
    <w:p w:rsidR="00CE58BA" w:rsidRDefault="00CE58BA" w:rsidP="00CE58BA">
      <w:pPr>
        <w:rPr>
          <w:lang w:eastAsia="zh-CN"/>
        </w:rPr>
      </w:pPr>
    </w:p>
    <w:p w:rsidR="00CE58BA" w:rsidRPr="001C25C4" w:rsidRDefault="00CE58BA" w:rsidP="00CE58BA">
      <w:pPr>
        <w:rPr>
          <w:lang w:eastAsia="zh-CN"/>
        </w:rPr>
      </w:pPr>
    </w:p>
    <w:p w:rsidR="00CE58BA" w:rsidRPr="001C25C4" w:rsidRDefault="00CE58BA" w:rsidP="00CE58BA">
      <w:r w:rsidRPr="001C25C4">
        <w:rPr>
          <w:b/>
        </w:rPr>
        <w:lastRenderedPageBreak/>
        <w:t xml:space="preserve">Table </w:t>
      </w:r>
      <w:r>
        <w:rPr>
          <w:b/>
          <w:lang w:eastAsia="zh-CN"/>
        </w:rPr>
        <w:t>3:</w:t>
      </w:r>
      <w:r w:rsidRPr="001C25C4">
        <w:t xml:space="preserve"> Mean square error of six models by LSM</w:t>
      </w:r>
    </w:p>
    <w:tbl>
      <w:tblPr>
        <w:tblW w:w="4844" w:type="pct"/>
        <w:tblBorders>
          <w:top w:val="single" w:sz="4" w:space="0" w:color="auto"/>
          <w:bottom w:val="single" w:sz="4" w:space="0" w:color="auto"/>
        </w:tblBorders>
        <w:tblLook w:val="04A0" w:firstRow="1" w:lastRow="0" w:firstColumn="1" w:lastColumn="0" w:noHBand="0" w:noVBand="1"/>
      </w:tblPr>
      <w:tblGrid>
        <w:gridCol w:w="1645"/>
        <w:gridCol w:w="1802"/>
        <w:gridCol w:w="1676"/>
        <w:gridCol w:w="1736"/>
        <w:gridCol w:w="2137"/>
      </w:tblGrid>
      <w:tr w:rsidR="00CE58BA" w:rsidRPr="001C25C4" w:rsidTr="009E1089">
        <w:trPr>
          <w:trHeight w:val="247"/>
        </w:trPr>
        <w:tc>
          <w:tcPr>
            <w:tcW w:w="914" w:type="pct"/>
            <w:tcBorders>
              <w:top w:val="single" w:sz="12" w:space="0" w:color="auto"/>
              <w:bottom w:val="single" w:sz="4" w:space="0" w:color="auto"/>
            </w:tcBorders>
            <w:shd w:val="clear" w:color="auto" w:fill="auto"/>
            <w:noWrap/>
            <w:vAlign w:val="center"/>
            <w:hideMark/>
          </w:tcPr>
          <w:p w:rsidR="00CE58BA" w:rsidRPr="001C25C4" w:rsidRDefault="00CE58BA" w:rsidP="009E1089">
            <w:pPr>
              <w:jc w:val="center"/>
              <w:rPr>
                <w:rFonts w:eastAsia="Times New Roman"/>
                <w:color w:val="000000"/>
              </w:rPr>
            </w:pPr>
            <w:r w:rsidRPr="001C25C4">
              <w:rPr>
                <w:rFonts w:eastAsia="Times New Roman"/>
                <w:color w:val="000000"/>
              </w:rPr>
              <w:t>k (veh/km)</w:t>
            </w:r>
          </w:p>
        </w:tc>
        <w:tc>
          <w:tcPr>
            <w:tcW w:w="1001" w:type="pct"/>
            <w:tcBorders>
              <w:top w:val="single" w:sz="12" w:space="0" w:color="auto"/>
              <w:bottom w:val="single" w:sz="4" w:space="0" w:color="auto"/>
            </w:tcBorders>
            <w:shd w:val="clear" w:color="auto" w:fill="auto"/>
            <w:noWrap/>
            <w:vAlign w:val="center"/>
            <w:hideMark/>
          </w:tcPr>
          <w:p w:rsidR="00CE58BA" w:rsidRPr="001C25C4" w:rsidRDefault="00CE58BA" w:rsidP="009E1089">
            <w:pPr>
              <w:jc w:val="right"/>
              <w:rPr>
                <w:rFonts w:eastAsia="Times New Roman"/>
                <w:color w:val="000000"/>
              </w:rPr>
            </w:pPr>
            <w:r w:rsidRPr="001C25C4">
              <w:rPr>
                <w:rFonts w:eastAsia="Times New Roman"/>
                <w:color w:val="000000"/>
              </w:rPr>
              <w:t>Greenshields</w:t>
            </w:r>
          </w:p>
          <w:p w:rsidR="00CE58BA" w:rsidRPr="001C25C4" w:rsidRDefault="00CE58BA" w:rsidP="009E1089">
            <w:pPr>
              <w:jc w:val="right"/>
              <w:rPr>
                <w:rFonts w:eastAsia="Times New Roman"/>
                <w:color w:val="000000"/>
              </w:rPr>
            </w:pPr>
            <w:r w:rsidRPr="001C25C4">
              <w:rPr>
                <w:rFonts w:eastAsia="Times New Roman"/>
                <w:color w:val="000000"/>
              </w:rPr>
              <w:t>(1935)</w:t>
            </w:r>
          </w:p>
        </w:tc>
        <w:tc>
          <w:tcPr>
            <w:tcW w:w="931" w:type="pct"/>
            <w:tcBorders>
              <w:top w:val="single" w:sz="12" w:space="0" w:color="auto"/>
              <w:bottom w:val="single" w:sz="4" w:space="0" w:color="auto"/>
            </w:tcBorders>
            <w:shd w:val="clear" w:color="auto" w:fill="auto"/>
            <w:noWrap/>
            <w:vAlign w:val="center"/>
            <w:hideMark/>
          </w:tcPr>
          <w:p w:rsidR="00CE58BA" w:rsidRPr="001C25C4" w:rsidRDefault="00CE58BA" w:rsidP="009E1089">
            <w:pPr>
              <w:jc w:val="right"/>
              <w:rPr>
                <w:rFonts w:eastAsia="Times New Roman"/>
                <w:color w:val="000000"/>
              </w:rPr>
            </w:pPr>
            <w:r w:rsidRPr="001C25C4">
              <w:rPr>
                <w:rFonts w:eastAsia="Times New Roman"/>
                <w:color w:val="000000"/>
              </w:rPr>
              <w:t>Greenberg</w:t>
            </w:r>
          </w:p>
          <w:p w:rsidR="00CE58BA" w:rsidRPr="001C25C4" w:rsidRDefault="00CE58BA" w:rsidP="009E1089">
            <w:pPr>
              <w:jc w:val="right"/>
              <w:rPr>
                <w:rFonts w:eastAsia="Times New Roman"/>
                <w:color w:val="000000"/>
              </w:rPr>
            </w:pPr>
            <w:r w:rsidRPr="001C25C4">
              <w:rPr>
                <w:rFonts w:eastAsia="Times New Roman"/>
                <w:color w:val="000000"/>
              </w:rPr>
              <w:t>(1959)</w:t>
            </w:r>
          </w:p>
        </w:tc>
        <w:tc>
          <w:tcPr>
            <w:tcW w:w="965" w:type="pct"/>
            <w:tcBorders>
              <w:top w:val="single" w:sz="12" w:space="0" w:color="auto"/>
              <w:bottom w:val="single" w:sz="4" w:space="0" w:color="auto"/>
            </w:tcBorders>
            <w:shd w:val="clear" w:color="auto" w:fill="auto"/>
            <w:noWrap/>
            <w:vAlign w:val="center"/>
            <w:hideMark/>
          </w:tcPr>
          <w:p w:rsidR="00CE58BA" w:rsidRPr="001C25C4" w:rsidRDefault="00CE58BA" w:rsidP="009E1089">
            <w:pPr>
              <w:jc w:val="right"/>
              <w:rPr>
                <w:rFonts w:eastAsia="Times New Roman"/>
                <w:color w:val="000000"/>
              </w:rPr>
            </w:pPr>
            <w:r w:rsidRPr="001C25C4">
              <w:rPr>
                <w:rFonts w:eastAsia="Times New Roman"/>
                <w:color w:val="000000"/>
              </w:rPr>
              <w:t>Underwood</w:t>
            </w:r>
          </w:p>
          <w:p w:rsidR="00CE58BA" w:rsidRPr="001C25C4" w:rsidRDefault="00CE58BA" w:rsidP="009E1089">
            <w:pPr>
              <w:jc w:val="right"/>
              <w:rPr>
                <w:rFonts w:eastAsia="Times New Roman"/>
                <w:color w:val="000000"/>
              </w:rPr>
            </w:pPr>
            <w:r w:rsidRPr="001C25C4">
              <w:rPr>
                <w:rFonts w:eastAsia="Times New Roman"/>
                <w:color w:val="000000"/>
              </w:rPr>
              <w:t>(1961)</w:t>
            </w:r>
          </w:p>
        </w:tc>
        <w:tc>
          <w:tcPr>
            <w:tcW w:w="1188" w:type="pct"/>
            <w:tcBorders>
              <w:top w:val="single" w:sz="12" w:space="0" w:color="auto"/>
              <w:bottom w:val="single" w:sz="8" w:space="0" w:color="auto"/>
            </w:tcBorders>
            <w:shd w:val="clear" w:color="auto" w:fill="auto"/>
            <w:noWrap/>
            <w:vAlign w:val="center"/>
            <w:hideMark/>
          </w:tcPr>
          <w:p w:rsidR="00CE58BA" w:rsidRPr="001C25C4" w:rsidRDefault="00CE58BA" w:rsidP="009E1089">
            <w:pPr>
              <w:jc w:val="right"/>
              <w:rPr>
                <w:rFonts w:eastAsia="Times New Roman"/>
                <w:color w:val="000000"/>
              </w:rPr>
            </w:pPr>
            <w:r w:rsidRPr="001C25C4">
              <w:rPr>
                <w:rFonts w:eastAsia="Times New Roman"/>
                <w:color w:val="000000"/>
              </w:rPr>
              <w:t>Northwestern</w:t>
            </w:r>
          </w:p>
          <w:p w:rsidR="00CE58BA" w:rsidRPr="001C25C4" w:rsidRDefault="00CE58BA" w:rsidP="009E1089">
            <w:pPr>
              <w:jc w:val="right"/>
              <w:rPr>
                <w:rFonts w:eastAsia="Times New Roman"/>
                <w:color w:val="000000"/>
              </w:rPr>
            </w:pPr>
            <w:r w:rsidRPr="001C25C4">
              <w:rPr>
                <w:rFonts w:eastAsia="Times New Roman"/>
                <w:color w:val="000000"/>
              </w:rPr>
              <w:t xml:space="preserve"> (1961)</w:t>
            </w:r>
          </w:p>
        </w:tc>
      </w:tr>
      <w:tr w:rsidR="00CE58BA" w:rsidRPr="001C25C4" w:rsidTr="009E1089">
        <w:trPr>
          <w:trHeight w:val="247"/>
        </w:trPr>
        <w:tc>
          <w:tcPr>
            <w:tcW w:w="914" w:type="pct"/>
            <w:tcBorders>
              <w:top w:val="single" w:sz="8" w:space="0" w:color="auto"/>
            </w:tcBorders>
            <w:shd w:val="clear" w:color="auto" w:fill="auto"/>
            <w:noWrap/>
            <w:vAlign w:val="center"/>
            <w:hideMark/>
          </w:tcPr>
          <w:p w:rsidR="00CE58BA" w:rsidRPr="001C25C4" w:rsidRDefault="00CE58BA" w:rsidP="009E1089">
            <w:pPr>
              <w:jc w:val="center"/>
              <w:rPr>
                <w:rFonts w:eastAsia="Times New Roman"/>
                <w:color w:val="000000"/>
              </w:rPr>
            </w:pPr>
            <w:r w:rsidRPr="001C25C4">
              <w:rPr>
                <w:rFonts w:eastAsia="Times New Roman"/>
                <w:color w:val="000000"/>
              </w:rPr>
              <w:t>0-10</w:t>
            </w:r>
          </w:p>
        </w:tc>
        <w:tc>
          <w:tcPr>
            <w:tcW w:w="1001" w:type="pct"/>
            <w:tcBorders>
              <w:top w:val="single" w:sz="8" w:space="0" w:color="auto"/>
            </w:tcBorders>
            <w:shd w:val="clear" w:color="auto" w:fill="auto"/>
            <w:noWrap/>
            <w:vAlign w:val="bottom"/>
            <w:hideMark/>
          </w:tcPr>
          <w:p w:rsidR="00CE58BA" w:rsidRPr="001C25C4" w:rsidRDefault="00CE58BA" w:rsidP="009E1089">
            <w:pPr>
              <w:jc w:val="right"/>
              <w:rPr>
                <w:color w:val="000000"/>
              </w:rPr>
            </w:pPr>
            <w:r w:rsidRPr="001C25C4">
              <w:rPr>
                <w:color w:val="000000"/>
              </w:rPr>
              <w:t>265.474</w:t>
            </w:r>
          </w:p>
        </w:tc>
        <w:tc>
          <w:tcPr>
            <w:tcW w:w="931" w:type="pct"/>
            <w:tcBorders>
              <w:top w:val="single" w:sz="8" w:space="0" w:color="auto"/>
            </w:tcBorders>
            <w:shd w:val="clear" w:color="auto" w:fill="auto"/>
            <w:noWrap/>
            <w:vAlign w:val="bottom"/>
            <w:hideMark/>
          </w:tcPr>
          <w:p w:rsidR="00CE58BA" w:rsidRPr="001C25C4" w:rsidRDefault="00CE58BA" w:rsidP="009E1089">
            <w:pPr>
              <w:jc w:val="right"/>
              <w:rPr>
                <w:color w:val="000000"/>
              </w:rPr>
            </w:pPr>
            <w:r w:rsidRPr="001C25C4">
              <w:rPr>
                <w:color w:val="000000"/>
              </w:rPr>
              <w:t>307.088</w:t>
            </w:r>
          </w:p>
        </w:tc>
        <w:tc>
          <w:tcPr>
            <w:tcW w:w="965" w:type="pct"/>
            <w:tcBorders>
              <w:top w:val="single" w:sz="8" w:space="0" w:color="auto"/>
            </w:tcBorders>
            <w:shd w:val="clear" w:color="auto" w:fill="auto"/>
            <w:noWrap/>
            <w:vAlign w:val="bottom"/>
            <w:hideMark/>
          </w:tcPr>
          <w:p w:rsidR="00CE58BA" w:rsidRPr="001C25C4" w:rsidRDefault="00CE58BA" w:rsidP="009E1089">
            <w:pPr>
              <w:jc w:val="right"/>
              <w:rPr>
                <w:color w:val="000000"/>
              </w:rPr>
            </w:pPr>
            <w:r w:rsidRPr="001C25C4">
              <w:rPr>
                <w:color w:val="000000"/>
              </w:rPr>
              <w:t>99.220</w:t>
            </w:r>
          </w:p>
        </w:tc>
        <w:tc>
          <w:tcPr>
            <w:tcW w:w="1188" w:type="pct"/>
            <w:tcBorders>
              <w:top w:val="single" w:sz="8" w:space="0" w:color="auto"/>
            </w:tcBorders>
            <w:shd w:val="clear" w:color="auto" w:fill="auto"/>
            <w:noWrap/>
            <w:vAlign w:val="bottom"/>
            <w:hideMark/>
          </w:tcPr>
          <w:p w:rsidR="00CE58BA" w:rsidRPr="001C25C4" w:rsidRDefault="00CE58BA" w:rsidP="009E1089">
            <w:pPr>
              <w:jc w:val="right"/>
              <w:rPr>
                <w:color w:val="000000"/>
              </w:rPr>
            </w:pPr>
            <w:r w:rsidRPr="001C25C4">
              <w:rPr>
                <w:color w:val="000000"/>
              </w:rPr>
              <w:t>22.989</w:t>
            </w:r>
          </w:p>
        </w:tc>
      </w:tr>
      <w:tr w:rsidR="00CE58BA" w:rsidRPr="001C25C4" w:rsidTr="009E1089">
        <w:trPr>
          <w:trHeight w:val="247"/>
        </w:trPr>
        <w:tc>
          <w:tcPr>
            <w:tcW w:w="914" w:type="pct"/>
            <w:shd w:val="clear" w:color="auto" w:fill="auto"/>
            <w:noWrap/>
            <w:vAlign w:val="center"/>
          </w:tcPr>
          <w:p w:rsidR="00CE58BA" w:rsidRPr="001C25C4" w:rsidRDefault="00CE58BA" w:rsidP="009E1089">
            <w:pPr>
              <w:jc w:val="center"/>
              <w:rPr>
                <w:rFonts w:eastAsia="Times New Roman"/>
                <w:color w:val="000000"/>
              </w:rPr>
            </w:pPr>
            <w:r w:rsidRPr="001C25C4">
              <w:rPr>
                <w:rFonts w:eastAsia="Times New Roman"/>
                <w:color w:val="000000"/>
              </w:rPr>
              <w:t>10-20</w:t>
            </w:r>
          </w:p>
        </w:tc>
        <w:tc>
          <w:tcPr>
            <w:tcW w:w="1001" w:type="pct"/>
            <w:shd w:val="clear" w:color="auto" w:fill="auto"/>
            <w:noWrap/>
            <w:vAlign w:val="bottom"/>
          </w:tcPr>
          <w:p w:rsidR="00CE58BA" w:rsidRPr="001C25C4" w:rsidRDefault="00CE58BA" w:rsidP="009E1089">
            <w:pPr>
              <w:jc w:val="right"/>
              <w:rPr>
                <w:color w:val="000000"/>
              </w:rPr>
            </w:pPr>
            <w:r w:rsidRPr="001C25C4">
              <w:rPr>
                <w:color w:val="000000"/>
              </w:rPr>
              <w:t>369.920</w:t>
            </w:r>
          </w:p>
        </w:tc>
        <w:tc>
          <w:tcPr>
            <w:tcW w:w="931" w:type="pct"/>
            <w:shd w:val="clear" w:color="auto" w:fill="auto"/>
            <w:noWrap/>
            <w:vAlign w:val="bottom"/>
          </w:tcPr>
          <w:p w:rsidR="00CE58BA" w:rsidRPr="001C25C4" w:rsidRDefault="00CE58BA" w:rsidP="009E1089">
            <w:pPr>
              <w:jc w:val="right"/>
              <w:rPr>
                <w:color w:val="000000"/>
              </w:rPr>
            </w:pPr>
            <w:r w:rsidRPr="001C25C4">
              <w:rPr>
                <w:color w:val="000000"/>
              </w:rPr>
              <w:t>132.153</w:t>
            </w:r>
          </w:p>
        </w:tc>
        <w:tc>
          <w:tcPr>
            <w:tcW w:w="965" w:type="pct"/>
            <w:shd w:val="clear" w:color="auto" w:fill="auto"/>
            <w:noWrap/>
            <w:vAlign w:val="bottom"/>
          </w:tcPr>
          <w:p w:rsidR="00CE58BA" w:rsidRPr="001C25C4" w:rsidRDefault="00CE58BA" w:rsidP="009E1089">
            <w:pPr>
              <w:jc w:val="right"/>
              <w:rPr>
                <w:color w:val="000000"/>
              </w:rPr>
            </w:pPr>
            <w:r w:rsidRPr="001C25C4">
              <w:rPr>
                <w:color w:val="000000"/>
              </w:rPr>
              <w:t>57.231</w:t>
            </w:r>
          </w:p>
        </w:tc>
        <w:tc>
          <w:tcPr>
            <w:tcW w:w="1188" w:type="pct"/>
            <w:shd w:val="clear" w:color="auto" w:fill="auto"/>
            <w:noWrap/>
            <w:vAlign w:val="bottom"/>
          </w:tcPr>
          <w:p w:rsidR="00CE58BA" w:rsidRPr="001C25C4" w:rsidRDefault="00CE58BA" w:rsidP="009E1089">
            <w:pPr>
              <w:jc w:val="right"/>
              <w:rPr>
                <w:color w:val="000000"/>
              </w:rPr>
            </w:pPr>
            <w:r w:rsidRPr="001C25C4">
              <w:rPr>
                <w:color w:val="000000"/>
              </w:rPr>
              <w:t>47.472</w:t>
            </w:r>
          </w:p>
        </w:tc>
      </w:tr>
      <w:tr w:rsidR="00CE58BA" w:rsidRPr="001C25C4" w:rsidTr="009E1089">
        <w:trPr>
          <w:trHeight w:val="247"/>
        </w:trPr>
        <w:tc>
          <w:tcPr>
            <w:tcW w:w="914" w:type="pct"/>
            <w:shd w:val="clear" w:color="auto" w:fill="auto"/>
            <w:noWrap/>
            <w:vAlign w:val="center"/>
            <w:hideMark/>
          </w:tcPr>
          <w:p w:rsidR="00CE58BA" w:rsidRPr="001C25C4" w:rsidRDefault="00CE58BA" w:rsidP="009E1089">
            <w:pPr>
              <w:jc w:val="center"/>
              <w:rPr>
                <w:rFonts w:eastAsia="Times New Roman"/>
                <w:color w:val="000000"/>
              </w:rPr>
            </w:pPr>
            <w:r w:rsidRPr="001C25C4">
              <w:rPr>
                <w:rFonts w:eastAsia="Times New Roman"/>
                <w:color w:val="000000"/>
              </w:rPr>
              <w:t>20-30</w:t>
            </w:r>
          </w:p>
        </w:tc>
        <w:tc>
          <w:tcPr>
            <w:tcW w:w="1001" w:type="pct"/>
            <w:shd w:val="clear" w:color="auto" w:fill="auto"/>
            <w:noWrap/>
            <w:vAlign w:val="bottom"/>
            <w:hideMark/>
          </w:tcPr>
          <w:p w:rsidR="00CE58BA" w:rsidRPr="001C25C4" w:rsidRDefault="00CE58BA" w:rsidP="009E1089">
            <w:pPr>
              <w:jc w:val="right"/>
              <w:rPr>
                <w:color w:val="000000"/>
              </w:rPr>
            </w:pPr>
            <w:r w:rsidRPr="001C25C4">
              <w:rPr>
                <w:color w:val="000000"/>
              </w:rPr>
              <w:t>280.740</w:t>
            </w:r>
          </w:p>
        </w:tc>
        <w:tc>
          <w:tcPr>
            <w:tcW w:w="931" w:type="pct"/>
            <w:shd w:val="clear" w:color="auto" w:fill="auto"/>
            <w:noWrap/>
            <w:vAlign w:val="bottom"/>
            <w:hideMark/>
          </w:tcPr>
          <w:p w:rsidR="00CE58BA" w:rsidRPr="001C25C4" w:rsidRDefault="00CE58BA" w:rsidP="009E1089">
            <w:pPr>
              <w:jc w:val="right"/>
              <w:rPr>
                <w:color w:val="000000"/>
              </w:rPr>
            </w:pPr>
            <w:r w:rsidRPr="001C25C4">
              <w:rPr>
                <w:color w:val="000000"/>
              </w:rPr>
              <w:t>415.197</w:t>
            </w:r>
          </w:p>
        </w:tc>
        <w:tc>
          <w:tcPr>
            <w:tcW w:w="965" w:type="pct"/>
            <w:shd w:val="clear" w:color="auto" w:fill="auto"/>
            <w:noWrap/>
            <w:vAlign w:val="bottom"/>
            <w:hideMark/>
          </w:tcPr>
          <w:p w:rsidR="00CE58BA" w:rsidRPr="001C25C4" w:rsidRDefault="00CE58BA" w:rsidP="009E1089">
            <w:pPr>
              <w:jc w:val="right"/>
              <w:rPr>
                <w:color w:val="000000"/>
              </w:rPr>
            </w:pPr>
            <w:r w:rsidRPr="001C25C4">
              <w:rPr>
                <w:color w:val="000000"/>
              </w:rPr>
              <w:t>226.754</w:t>
            </w:r>
          </w:p>
        </w:tc>
        <w:tc>
          <w:tcPr>
            <w:tcW w:w="1188" w:type="pct"/>
            <w:shd w:val="clear" w:color="auto" w:fill="auto"/>
            <w:noWrap/>
            <w:vAlign w:val="bottom"/>
            <w:hideMark/>
          </w:tcPr>
          <w:p w:rsidR="00CE58BA" w:rsidRPr="001C25C4" w:rsidRDefault="00CE58BA" w:rsidP="009E1089">
            <w:pPr>
              <w:jc w:val="right"/>
              <w:rPr>
                <w:color w:val="000000"/>
              </w:rPr>
            </w:pPr>
            <w:r w:rsidRPr="001C25C4">
              <w:rPr>
                <w:color w:val="000000"/>
              </w:rPr>
              <w:t>85.437</w:t>
            </w:r>
          </w:p>
        </w:tc>
      </w:tr>
      <w:tr w:rsidR="00CE58BA" w:rsidRPr="001C25C4" w:rsidTr="009E1089">
        <w:trPr>
          <w:trHeight w:val="247"/>
        </w:trPr>
        <w:tc>
          <w:tcPr>
            <w:tcW w:w="914" w:type="pct"/>
            <w:shd w:val="clear" w:color="auto" w:fill="auto"/>
            <w:noWrap/>
            <w:vAlign w:val="center"/>
            <w:hideMark/>
          </w:tcPr>
          <w:p w:rsidR="00CE58BA" w:rsidRPr="001C25C4" w:rsidRDefault="00CE58BA" w:rsidP="009E1089">
            <w:pPr>
              <w:jc w:val="center"/>
              <w:rPr>
                <w:rFonts w:eastAsia="Times New Roman"/>
                <w:color w:val="000000"/>
              </w:rPr>
            </w:pPr>
            <w:r w:rsidRPr="001C25C4">
              <w:rPr>
                <w:rFonts w:eastAsia="Times New Roman"/>
                <w:color w:val="000000"/>
              </w:rPr>
              <w:t>30-40</w:t>
            </w:r>
          </w:p>
        </w:tc>
        <w:tc>
          <w:tcPr>
            <w:tcW w:w="1001" w:type="pct"/>
            <w:shd w:val="clear" w:color="auto" w:fill="auto"/>
            <w:noWrap/>
            <w:vAlign w:val="bottom"/>
            <w:hideMark/>
          </w:tcPr>
          <w:p w:rsidR="00CE58BA" w:rsidRPr="001C25C4" w:rsidRDefault="00CE58BA" w:rsidP="009E1089">
            <w:pPr>
              <w:jc w:val="right"/>
              <w:rPr>
                <w:color w:val="000000"/>
              </w:rPr>
            </w:pPr>
            <w:r w:rsidRPr="001C25C4">
              <w:rPr>
                <w:color w:val="000000"/>
              </w:rPr>
              <w:t>126.713</w:t>
            </w:r>
          </w:p>
        </w:tc>
        <w:tc>
          <w:tcPr>
            <w:tcW w:w="931" w:type="pct"/>
            <w:shd w:val="clear" w:color="auto" w:fill="auto"/>
            <w:noWrap/>
            <w:vAlign w:val="bottom"/>
            <w:hideMark/>
          </w:tcPr>
          <w:p w:rsidR="00CE58BA" w:rsidRPr="001C25C4" w:rsidRDefault="00CE58BA" w:rsidP="009E1089">
            <w:pPr>
              <w:jc w:val="right"/>
              <w:rPr>
                <w:color w:val="000000"/>
              </w:rPr>
            </w:pPr>
            <w:r w:rsidRPr="001C25C4">
              <w:rPr>
                <w:color w:val="000000"/>
              </w:rPr>
              <w:t>82.275</w:t>
            </w:r>
          </w:p>
        </w:tc>
        <w:tc>
          <w:tcPr>
            <w:tcW w:w="965" w:type="pct"/>
            <w:shd w:val="clear" w:color="auto" w:fill="auto"/>
            <w:noWrap/>
            <w:vAlign w:val="bottom"/>
            <w:hideMark/>
          </w:tcPr>
          <w:p w:rsidR="00CE58BA" w:rsidRPr="001C25C4" w:rsidRDefault="00CE58BA" w:rsidP="009E1089">
            <w:pPr>
              <w:jc w:val="right"/>
              <w:rPr>
                <w:color w:val="000000"/>
              </w:rPr>
            </w:pPr>
            <w:r w:rsidRPr="001C25C4">
              <w:rPr>
                <w:color w:val="000000"/>
              </w:rPr>
              <w:t>72.785</w:t>
            </w:r>
          </w:p>
        </w:tc>
        <w:tc>
          <w:tcPr>
            <w:tcW w:w="1188" w:type="pct"/>
            <w:shd w:val="clear" w:color="auto" w:fill="auto"/>
            <w:noWrap/>
            <w:vAlign w:val="bottom"/>
            <w:hideMark/>
          </w:tcPr>
          <w:p w:rsidR="00CE58BA" w:rsidRPr="001C25C4" w:rsidRDefault="00CE58BA" w:rsidP="009E1089">
            <w:pPr>
              <w:jc w:val="right"/>
              <w:rPr>
                <w:color w:val="000000"/>
              </w:rPr>
            </w:pPr>
            <w:r w:rsidRPr="001C25C4">
              <w:rPr>
                <w:color w:val="000000"/>
              </w:rPr>
              <w:t>155.886</w:t>
            </w:r>
          </w:p>
        </w:tc>
      </w:tr>
      <w:tr w:rsidR="00CE58BA" w:rsidRPr="001C25C4" w:rsidTr="009E1089">
        <w:trPr>
          <w:trHeight w:val="247"/>
        </w:trPr>
        <w:tc>
          <w:tcPr>
            <w:tcW w:w="914" w:type="pct"/>
            <w:shd w:val="clear" w:color="auto" w:fill="auto"/>
            <w:noWrap/>
            <w:vAlign w:val="center"/>
            <w:hideMark/>
          </w:tcPr>
          <w:p w:rsidR="00CE58BA" w:rsidRPr="001C25C4" w:rsidRDefault="00CE58BA" w:rsidP="009E1089">
            <w:pPr>
              <w:jc w:val="center"/>
              <w:rPr>
                <w:rFonts w:eastAsia="Times New Roman"/>
                <w:color w:val="000000"/>
              </w:rPr>
            </w:pPr>
            <w:r w:rsidRPr="001C25C4">
              <w:rPr>
                <w:rFonts w:eastAsia="Times New Roman"/>
                <w:color w:val="000000"/>
              </w:rPr>
              <w:t>40-50</w:t>
            </w:r>
          </w:p>
        </w:tc>
        <w:tc>
          <w:tcPr>
            <w:tcW w:w="1001" w:type="pct"/>
            <w:shd w:val="clear" w:color="auto" w:fill="auto"/>
            <w:noWrap/>
            <w:vAlign w:val="bottom"/>
            <w:hideMark/>
          </w:tcPr>
          <w:p w:rsidR="00CE58BA" w:rsidRPr="001C25C4" w:rsidRDefault="00CE58BA" w:rsidP="009E1089">
            <w:pPr>
              <w:jc w:val="right"/>
              <w:rPr>
                <w:color w:val="000000"/>
              </w:rPr>
            </w:pPr>
            <w:r w:rsidRPr="001C25C4">
              <w:rPr>
                <w:color w:val="000000"/>
              </w:rPr>
              <w:t>256.638</w:t>
            </w:r>
          </w:p>
        </w:tc>
        <w:tc>
          <w:tcPr>
            <w:tcW w:w="931" w:type="pct"/>
            <w:shd w:val="clear" w:color="auto" w:fill="auto"/>
            <w:noWrap/>
            <w:vAlign w:val="bottom"/>
            <w:hideMark/>
          </w:tcPr>
          <w:p w:rsidR="00CE58BA" w:rsidRPr="001C25C4" w:rsidRDefault="00CE58BA" w:rsidP="009E1089">
            <w:pPr>
              <w:jc w:val="right"/>
              <w:rPr>
                <w:color w:val="000000"/>
              </w:rPr>
            </w:pPr>
            <w:r w:rsidRPr="001C25C4">
              <w:rPr>
                <w:color w:val="000000"/>
              </w:rPr>
              <w:t>43.389</w:t>
            </w:r>
          </w:p>
        </w:tc>
        <w:tc>
          <w:tcPr>
            <w:tcW w:w="965" w:type="pct"/>
            <w:shd w:val="clear" w:color="auto" w:fill="auto"/>
            <w:noWrap/>
            <w:vAlign w:val="bottom"/>
            <w:hideMark/>
          </w:tcPr>
          <w:p w:rsidR="00CE58BA" w:rsidRPr="001C25C4" w:rsidRDefault="00CE58BA" w:rsidP="009E1089">
            <w:pPr>
              <w:jc w:val="right"/>
              <w:rPr>
                <w:color w:val="000000"/>
              </w:rPr>
            </w:pPr>
            <w:r w:rsidRPr="001C25C4">
              <w:rPr>
                <w:color w:val="000000"/>
              </w:rPr>
              <w:t>52.888</w:t>
            </w:r>
          </w:p>
        </w:tc>
        <w:tc>
          <w:tcPr>
            <w:tcW w:w="1188" w:type="pct"/>
            <w:shd w:val="clear" w:color="auto" w:fill="auto"/>
            <w:noWrap/>
            <w:vAlign w:val="bottom"/>
            <w:hideMark/>
          </w:tcPr>
          <w:p w:rsidR="00CE58BA" w:rsidRPr="001C25C4" w:rsidRDefault="00CE58BA" w:rsidP="009E1089">
            <w:pPr>
              <w:jc w:val="right"/>
              <w:rPr>
                <w:color w:val="000000"/>
              </w:rPr>
            </w:pPr>
            <w:r w:rsidRPr="001C25C4">
              <w:rPr>
                <w:color w:val="000000"/>
              </w:rPr>
              <w:t>144.930</w:t>
            </w:r>
          </w:p>
        </w:tc>
      </w:tr>
      <w:tr w:rsidR="00CE58BA" w:rsidRPr="001C25C4" w:rsidTr="009E1089">
        <w:trPr>
          <w:trHeight w:val="247"/>
        </w:trPr>
        <w:tc>
          <w:tcPr>
            <w:tcW w:w="914" w:type="pct"/>
            <w:shd w:val="clear" w:color="auto" w:fill="auto"/>
            <w:noWrap/>
            <w:vAlign w:val="center"/>
            <w:hideMark/>
          </w:tcPr>
          <w:p w:rsidR="00CE58BA" w:rsidRPr="001C25C4" w:rsidRDefault="00CE58BA" w:rsidP="009E1089">
            <w:pPr>
              <w:jc w:val="center"/>
              <w:rPr>
                <w:rFonts w:eastAsia="Times New Roman"/>
                <w:color w:val="000000"/>
              </w:rPr>
            </w:pPr>
            <w:r w:rsidRPr="001C25C4">
              <w:rPr>
                <w:rFonts w:eastAsia="Times New Roman"/>
                <w:color w:val="000000"/>
              </w:rPr>
              <w:t>50-60</w:t>
            </w:r>
          </w:p>
        </w:tc>
        <w:tc>
          <w:tcPr>
            <w:tcW w:w="1001" w:type="pct"/>
            <w:shd w:val="clear" w:color="auto" w:fill="auto"/>
            <w:noWrap/>
            <w:vAlign w:val="bottom"/>
            <w:hideMark/>
          </w:tcPr>
          <w:p w:rsidR="00CE58BA" w:rsidRPr="001C25C4" w:rsidRDefault="00CE58BA" w:rsidP="009E1089">
            <w:pPr>
              <w:jc w:val="right"/>
              <w:rPr>
                <w:color w:val="000000"/>
              </w:rPr>
            </w:pPr>
            <w:r w:rsidRPr="001C25C4">
              <w:rPr>
                <w:color w:val="000000"/>
              </w:rPr>
              <w:t>292.754</w:t>
            </w:r>
          </w:p>
        </w:tc>
        <w:tc>
          <w:tcPr>
            <w:tcW w:w="931" w:type="pct"/>
            <w:shd w:val="clear" w:color="auto" w:fill="auto"/>
            <w:noWrap/>
            <w:vAlign w:val="bottom"/>
            <w:hideMark/>
          </w:tcPr>
          <w:p w:rsidR="00CE58BA" w:rsidRPr="001C25C4" w:rsidRDefault="00CE58BA" w:rsidP="009E1089">
            <w:pPr>
              <w:jc w:val="right"/>
              <w:rPr>
                <w:color w:val="000000"/>
              </w:rPr>
            </w:pPr>
            <w:r w:rsidRPr="001C25C4">
              <w:rPr>
                <w:color w:val="000000"/>
              </w:rPr>
              <w:t>34.617</w:t>
            </w:r>
          </w:p>
        </w:tc>
        <w:tc>
          <w:tcPr>
            <w:tcW w:w="965" w:type="pct"/>
            <w:shd w:val="clear" w:color="auto" w:fill="auto"/>
            <w:noWrap/>
            <w:vAlign w:val="bottom"/>
            <w:hideMark/>
          </w:tcPr>
          <w:p w:rsidR="00CE58BA" w:rsidRPr="001C25C4" w:rsidRDefault="00CE58BA" w:rsidP="009E1089">
            <w:pPr>
              <w:jc w:val="right"/>
              <w:rPr>
                <w:color w:val="000000"/>
              </w:rPr>
            </w:pPr>
            <w:r w:rsidRPr="001C25C4">
              <w:rPr>
                <w:color w:val="000000"/>
              </w:rPr>
              <w:t>28.688</w:t>
            </w:r>
          </w:p>
        </w:tc>
        <w:tc>
          <w:tcPr>
            <w:tcW w:w="1188" w:type="pct"/>
            <w:shd w:val="clear" w:color="auto" w:fill="auto"/>
            <w:noWrap/>
            <w:vAlign w:val="bottom"/>
            <w:hideMark/>
          </w:tcPr>
          <w:p w:rsidR="00CE58BA" w:rsidRPr="001C25C4" w:rsidRDefault="00CE58BA" w:rsidP="009E1089">
            <w:pPr>
              <w:jc w:val="right"/>
              <w:rPr>
                <w:color w:val="000000"/>
              </w:rPr>
            </w:pPr>
            <w:r w:rsidRPr="001C25C4">
              <w:rPr>
                <w:color w:val="000000"/>
              </w:rPr>
              <w:t>41.153</w:t>
            </w:r>
          </w:p>
        </w:tc>
      </w:tr>
      <w:tr w:rsidR="00CE58BA" w:rsidRPr="001C25C4" w:rsidTr="009E1089">
        <w:trPr>
          <w:trHeight w:val="247"/>
        </w:trPr>
        <w:tc>
          <w:tcPr>
            <w:tcW w:w="914" w:type="pct"/>
            <w:shd w:val="clear" w:color="auto" w:fill="auto"/>
            <w:noWrap/>
            <w:vAlign w:val="center"/>
            <w:hideMark/>
          </w:tcPr>
          <w:p w:rsidR="00CE58BA" w:rsidRPr="001C25C4" w:rsidRDefault="00CE58BA" w:rsidP="009E1089">
            <w:pPr>
              <w:jc w:val="center"/>
              <w:rPr>
                <w:rFonts w:eastAsia="Times New Roman"/>
                <w:color w:val="000000"/>
              </w:rPr>
            </w:pPr>
            <w:r w:rsidRPr="001C25C4">
              <w:rPr>
                <w:rFonts w:eastAsia="Times New Roman"/>
                <w:color w:val="000000"/>
              </w:rPr>
              <w:t>60-70</w:t>
            </w:r>
          </w:p>
        </w:tc>
        <w:tc>
          <w:tcPr>
            <w:tcW w:w="1001" w:type="pct"/>
            <w:shd w:val="clear" w:color="auto" w:fill="auto"/>
            <w:noWrap/>
            <w:vAlign w:val="bottom"/>
            <w:hideMark/>
          </w:tcPr>
          <w:p w:rsidR="00CE58BA" w:rsidRPr="001C25C4" w:rsidRDefault="00CE58BA" w:rsidP="009E1089">
            <w:pPr>
              <w:jc w:val="right"/>
              <w:rPr>
                <w:color w:val="000000"/>
              </w:rPr>
            </w:pPr>
            <w:r w:rsidRPr="001C25C4">
              <w:rPr>
                <w:color w:val="000000"/>
              </w:rPr>
              <w:t>335.375</w:t>
            </w:r>
          </w:p>
        </w:tc>
        <w:tc>
          <w:tcPr>
            <w:tcW w:w="931" w:type="pct"/>
            <w:shd w:val="clear" w:color="auto" w:fill="auto"/>
            <w:noWrap/>
            <w:vAlign w:val="bottom"/>
            <w:hideMark/>
          </w:tcPr>
          <w:p w:rsidR="00CE58BA" w:rsidRPr="001C25C4" w:rsidRDefault="00CE58BA" w:rsidP="009E1089">
            <w:pPr>
              <w:jc w:val="right"/>
              <w:rPr>
                <w:color w:val="000000"/>
              </w:rPr>
            </w:pPr>
            <w:r w:rsidRPr="001C25C4">
              <w:rPr>
                <w:color w:val="000000"/>
              </w:rPr>
              <w:t>77.412</w:t>
            </w:r>
          </w:p>
        </w:tc>
        <w:tc>
          <w:tcPr>
            <w:tcW w:w="965" w:type="pct"/>
            <w:shd w:val="clear" w:color="auto" w:fill="auto"/>
            <w:noWrap/>
            <w:vAlign w:val="bottom"/>
            <w:hideMark/>
          </w:tcPr>
          <w:p w:rsidR="00CE58BA" w:rsidRPr="001C25C4" w:rsidRDefault="00CE58BA" w:rsidP="009E1089">
            <w:pPr>
              <w:jc w:val="right"/>
              <w:rPr>
                <w:color w:val="000000"/>
              </w:rPr>
            </w:pPr>
            <w:r w:rsidRPr="001C25C4">
              <w:rPr>
                <w:color w:val="000000"/>
              </w:rPr>
              <w:t>55.651</w:t>
            </w:r>
          </w:p>
        </w:tc>
        <w:tc>
          <w:tcPr>
            <w:tcW w:w="1188" w:type="pct"/>
            <w:shd w:val="clear" w:color="auto" w:fill="auto"/>
            <w:noWrap/>
            <w:vAlign w:val="bottom"/>
            <w:hideMark/>
          </w:tcPr>
          <w:p w:rsidR="00CE58BA" w:rsidRPr="001C25C4" w:rsidRDefault="00CE58BA" w:rsidP="009E1089">
            <w:pPr>
              <w:jc w:val="right"/>
              <w:rPr>
                <w:color w:val="000000"/>
              </w:rPr>
            </w:pPr>
            <w:r w:rsidRPr="001C25C4">
              <w:rPr>
                <w:color w:val="000000"/>
              </w:rPr>
              <w:t>39.470</w:t>
            </w:r>
          </w:p>
        </w:tc>
      </w:tr>
      <w:tr w:rsidR="00CE58BA" w:rsidRPr="001C25C4" w:rsidTr="009E1089">
        <w:trPr>
          <w:trHeight w:val="247"/>
        </w:trPr>
        <w:tc>
          <w:tcPr>
            <w:tcW w:w="914" w:type="pct"/>
            <w:shd w:val="clear" w:color="auto" w:fill="auto"/>
            <w:noWrap/>
            <w:vAlign w:val="center"/>
            <w:hideMark/>
          </w:tcPr>
          <w:p w:rsidR="00CE58BA" w:rsidRPr="001C25C4" w:rsidRDefault="00CE58BA" w:rsidP="009E1089">
            <w:pPr>
              <w:jc w:val="center"/>
              <w:rPr>
                <w:rFonts w:eastAsia="Times New Roman"/>
                <w:color w:val="000000"/>
              </w:rPr>
            </w:pPr>
            <w:r w:rsidRPr="001C25C4">
              <w:rPr>
                <w:rFonts w:eastAsia="Times New Roman"/>
                <w:color w:val="000000"/>
              </w:rPr>
              <w:t>70-80</w:t>
            </w:r>
          </w:p>
        </w:tc>
        <w:tc>
          <w:tcPr>
            <w:tcW w:w="1001" w:type="pct"/>
            <w:shd w:val="clear" w:color="auto" w:fill="auto"/>
            <w:noWrap/>
            <w:vAlign w:val="bottom"/>
            <w:hideMark/>
          </w:tcPr>
          <w:p w:rsidR="00CE58BA" w:rsidRPr="001C25C4" w:rsidRDefault="00CE58BA" w:rsidP="009E1089">
            <w:pPr>
              <w:jc w:val="right"/>
              <w:rPr>
                <w:color w:val="000000"/>
              </w:rPr>
            </w:pPr>
            <w:r w:rsidRPr="001C25C4">
              <w:rPr>
                <w:color w:val="000000"/>
              </w:rPr>
              <w:t>191.027</w:t>
            </w:r>
          </w:p>
        </w:tc>
        <w:tc>
          <w:tcPr>
            <w:tcW w:w="931" w:type="pct"/>
            <w:shd w:val="clear" w:color="auto" w:fill="auto"/>
            <w:noWrap/>
            <w:vAlign w:val="bottom"/>
            <w:hideMark/>
          </w:tcPr>
          <w:p w:rsidR="00CE58BA" w:rsidRPr="001C25C4" w:rsidRDefault="00CE58BA" w:rsidP="009E1089">
            <w:pPr>
              <w:jc w:val="right"/>
              <w:rPr>
                <w:color w:val="000000"/>
              </w:rPr>
            </w:pPr>
            <w:r w:rsidRPr="001C25C4">
              <w:rPr>
                <w:color w:val="000000"/>
              </w:rPr>
              <w:t>34.098</w:t>
            </w:r>
          </w:p>
        </w:tc>
        <w:tc>
          <w:tcPr>
            <w:tcW w:w="965" w:type="pct"/>
            <w:shd w:val="clear" w:color="auto" w:fill="auto"/>
            <w:noWrap/>
            <w:vAlign w:val="bottom"/>
            <w:hideMark/>
          </w:tcPr>
          <w:p w:rsidR="00CE58BA" w:rsidRPr="001C25C4" w:rsidRDefault="00CE58BA" w:rsidP="009E1089">
            <w:pPr>
              <w:jc w:val="right"/>
              <w:rPr>
                <w:color w:val="000000"/>
              </w:rPr>
            </w:pPr>
            <w:r w:rsidRPr="001C25C4">
              <w:rPr>
                <w:color w:val="000000"/>
              </w:rPr>
              <w:t>16.992</w:t>
            </w:r>
          </w:p>
        </w:tc>
        <w:tc>
          <w:tcPr>
            <w:tcW w:w="1188" w:type="pct"/>
            <w:shd w:val="clear" w:color="auto" w:fill="auto"/>
            <w:noWrap/>
            <w:vAlign w:val="bottom"/>
            <w:hideMark/>
          </w:tcPr>
          <w:p w:rsidR="00CE58BA" w:rsidRPr="001C25C4" w:rsidRDefault="00CE58BA" w:rsidP="009E1089">
            <w:pPr>
              <w:jc w:val="right"/>
              <w:rPr>
                <w:color w:val="000000"/>
              </w:rPr>
            </w:pPr>
            <w:r w:rsidRPr="001C25C4">
              <w:rPr>
                <w:color w:val="000000"/>
              </w:rPr>
              <w:t>39.676</w:t>
            </w:r>
          </w:p>
        </w:tc>
      </w:tr>
      <w:tr w:rsidR="00CE58BA" w:rsidRPr="001C25C4" w:rsidTr="009E1089">
        <w:trPr>
          <w:trHeight w:val="247"/>
        </w:trPr>
        <w:tc>
          <w:tcPr>
            <w:tcW w:w="914" w:type="pct"/>
            <w:shd w:val="clear" w:color="auto" w:fill="auto"/>
            <w:noWrap/>
            <w:vAlign w:val="center"/>
            <w:hideMark/>
          </w:tcPr>
          <w:p w:rsidR="00CE58BA" w:rsidRPr="001C25C4" w:rsidRDefault="00CE58BA" w:rsidP="009E1089">
            <w:pPr>
              <w:jc w:val="center"/>
              <w:rPr>
                <w:rFonts w:eastAsia="Times New Roman"/>
                <w:color w:val="000000"/>
              </w:rPr>
            </w:pPr>
            <w:r w:rsidRPr="001C25C4">
              <w:rPr>
                <w:rFonts w:eastAsia="Times New Roman"/>
                <w:color w:val="000000"/>
              </w:rPr>
              <w:t>80-90</w:t>
            </w:r>
          </w:p>
        </w:tc>
        <w:tc>
          <w:tcPr>
            <w:tcW w:w="1001" w:type="pct"/>
            <w:shd w:val="clear" w:color="auto" w:fill="auto"/>
            <w:noWrap/>
            <w:vAlign w:val="bottom"/>
            <w:hideMark/>
          </w:tcPr>
          <w:p w:rsidR="00CE58BA" w:rsidRPr="001C25C4" w:rsidRDefault="00CE58BA" w:rsidP="009E1089">
            <w:pPr>
              <w:jc w:val="right"/>
              <w:rPr>
                <w:color w:val="000000"/>
              </w:rPr>
            </w:pPr>
            <w:r w:rsidRPr="001C25C4">
              <w:rPr>
                <w:color w:val="000000"/>
              </w:rPr>
              <w:t>94.518</w:t>
            </w:r>
          </w:p>
        </w:tc>
        <w:tc>
          <w:tcPr>
            <w:tcW w:w="931" w:type="pct"/>
            <w:shd w:val="clear" w:color="auto" w:fill="auto"/>
            <w:noWrap/>
            <w:vAlign w:val="bottom"/>
            <w:hideMark/>
          </w:tcPr>
          <w:p w:rsidR="00CE58BA" w:rsidRPr="001C25C4" w:rsidRDefault="00CE58BA" w:rsidP="009E1089">
            <w:pPr>
              <w:jc w:val="right"/>
              <w:rPr>
                <w:color w:val="000000"/>
              </w:rPr>
            </w:pPr>
            <w:r w:rsidRPr="001C25C4">
              <w:rPr>
                <w:color w:val="000000"/>
              </w:rPr>
              <w:t>21.700</w:t>
            </w:r>
          </w:p>
        </w:tc>
        <w:tc>
          <w:tcPr>
            <w:tcW w:w="965" w:type="pct"/>
            <w:shd w:val="clear" w:color="auto" w:fill="auto"/>
            <w:noWrap/>
            <w:vAlign w:val="bottom"/>
            <w:hideMark/>
          </w:tcPr>
          <w:p w:rsidR="00CE58BA" w:rsidRPr="001C25C4" w:rsidRDefault="00CE58BA" w:rsidP="009E1089">
            <w:pPr>
              <w:jc w:val="right"/>
              <w:rPr>
                <w:color w:val="000000"/>
              </w:rPr>
            </w:pPr>
            <w:r w:rsidRPr="001C25C4">
              <w:rPr>
                <w:color w:val="000000"/>
              </w:rPr>
              <w:t>12.506</w:t>
            </w:r>
          </w:p>
        </w:tc>
        <w:tc>
          <w:tcPr>
            <w:tcW w:w="1188" w:type="pct"/>
            <w:shd w:val="clear" w:color="auto" w:fill="auto"/>
            <w:noWrap/>
            <w:vAlign w:val="bottom"/>
            <w:hideMark/>
          </w:tcPr>
          <w:p w:rsidR="00CE58BA" w:rsidRPr="001C25C4" w:rsidRDefault="00CE58BA" w:rsidP="009E1089">
            <w:pPr>
              <w:jc w:val="right"/>
              <w:rPr>
                <w:color w:val="000000"/>
              </w:rPr>
            </w:pPr>
            <w:r w:rsidRPr="001C25C4">
              <w:rPr>
                <w:color w:val="000000"/>
              </w:rPr>
              <w:t>85.120</w:t>
            </w:r>
          </w:p>
        </w:tc>
      </w:tr>
      <w:tr w:rsidR="00CE58BA" w:rsidRPr="001C25C4" w:rsidTr="009E1089">
        <w:trPr>
          <w:trHeight w:val="247"/>
        </w:trPr>
        <w:tc>
          <w:tcPr>
            <w:tcW w:w="914" w:type="pct"/>
            <w:shd w:val="clear" w:color="auto" w:fill="auto"/>
            <w:noWrap/>
            <w:vAlign w:val="center"/>
            <w:hideMark/>
          </w:tcPr>
          <w:p w:rsidR="00CE58BA" w:rsidRPr="001C25C4" w:rsidRDefault="00CE58BA" w:rsidP="009E1089">
            <w:pPr>
              <w:jc w:val="center"/>
              <w:rPr>
                <w:rFonts w:eastAsia="Times New Roman"/>
                <w:color w:val="000000"/>
              </w:rPr>
            </w:pPr>
            <w:r w:rsidRPr="001C25C4">
              <w:rPr>
                <w:rFonts w:eastAsia="Times New Roman"/>
                <w:color w:val="000000"/>
              </w:rPr>
              <w:t>90-100</w:t>
            </w:r>
          </w:p>
        </w:tc>
        <w:tc>
          <w:tcPr>
            <w:tcW w:w="1001" w:type="pct"/>
            <w:shd w:val="clear" w:color="auto" w:fill="auto"/>
            <w:noWrap/>
            <w:vAlign w:val="bottom"/>
            <w:hideMark/>
          </w:tcPr>
          <w:p w:rsidR="00CE58BA" w:rsidRPr="001C25C4" w:rsidRDefault="00CE58BA" w:rsidP="009E1089">
            <w:pPr>
              <w:jc w:val="right"/>
              <w:rPr>
                <w:color w:val="000000"/>
              </w:rPr>
            </w:pPr>
            <w:r w:rsidRPr="001C25C4">
              <w:rPr>
                <w:color w:val="000000"/>
              </w:rPr>
              <w:t>41.505</w:t>
            </w:r>
          </w:p>
        </w:tc>
        <w:tc>
          <w:tcPr>
            <w:tcW w:w="931" w:type="pct"/>
            <w:shd w:val="clear" w:color="auto" w:fill="auto"/>
            <w:noWrap/>
            <w:vAlign w:val="bottom"/>
            <w:hideMark/>
          </w:tcPr>
          <w:p w:rsidR="00CE58BA" w:rsidRPr="001C25C4" w:rsidRDefault="00CE58BA" w:rsidP="009E1089">
            <w:pPr>
              <w:jc w:val="right"/>
              <w:rPr>
                <w:color w:val="000000"/>
              </w:rPr>
            </w:pPr>
            <w:r w:rsidRPr="001C25C4">
              <w:rPr>
                <w:color w:val="000000"/>
              </w:rPr>
              <w:t>17.757</w:t>
            </w:r>
          </w:p>
        </w:tc>
        <w:tc>
          <w:tcPr>
            <w:tcW w:w="965" w:type="pct"/>
            <w:shd w:val="clear" w:color="auto" w:fill="auto"/>
            <w:noWrap/>
            <w:vAlign w:val="bottom"/>
            <w:hideMark/>
          </w:tcPr>
          <w:p w:rsidR="00CE58BA" w:rsidRPr="001C25C4" w:rsidRDefault="00CE58BA" w:rsidP="009E1089">
            <w:pPr>
              <w:jc w:val="right"/>
              <w:rPr>
                <w:color w:val="000000"/>
              </w:rPr>
            </w:pPr>
            <w:r w:rsidRPr="001C25C4">
              <w:rPr>
                <w:color w:val="000000"/>
              </w:rPr>
              <w:t>13.738</w:t>
            </w:r>
          </w:p>
        </w:tc>
        <w:tc>
          <w:tcPr>
            <w:tcW w:w="1188" w:type="pct"/>
            <w:shd w:val="clear" w:color="auto" w:fill="auto"/>
            <w:noWrap/>
            <w:vAlign w:val="bottom"/>
            <w:hideMark/>
          </w:tcPr>
          <w:p w:rsidR="00CE58BA" w:rsidRPr="001C25C4" w:rsidRDefault="00CE58BA" w:rsidP="009E1089">
            <w:pPr>
              <w:jc w:val="right"/>
              <w:rPr>
                <w:color w:val="000000"/>
              </w:rPr>
            </w:pPr>
            <w:r w:rsidRPr="001C25C4">
              <w:rPr>
                <w:color w:val="000000"/>
              </w:rPr>
              <w:t>111.472</w:t>
            </w:r>
          </w:p>
        </w:tc>
      </w:tr>
      <w:tr w:rsidR="00CE58BA" w:rsidRPr="001C25C4" w:rsidTr="009E1089">
        <w:trPr>
          <w:trHeight w:val="247"/>
        </w:trPr>
        <w:tc>
          <w:tcPr>
            <w:tcW w:w="914" w:type="pct"/>
            <w:shd w:val="clear" w:color="auto" w:fill="auto"/>
            <w:noWrap/>
            <w:vAlign w:val="center"/>
            <w:hideMark/>
          </w:tcPr>
          <w:p w:rsidR="00CE58BA" w:rsidRPr="001C25C4" w:rsidRDefault="00CE58BA" w:rsidP="009E1089">
            <w:pPr>
              <w:jc w:val="center"/>
              <w:rPr>
                <w:rFonts w:eastAsia="Times New Roman"/>
                <w:color w:val="000000"/>
              </w:rPr>
            </w:pPr>
            <w:r w:rsidRPr="001C25C4">
              <w:rPr>
                <w:rFonts w:eastAsia="Times New Roman"/>
                <w:color w:val="000000"/>
              </w:rPr>
              <w:t>100-110</w:t>
            </w:r>
          </w:p>
        </w:tc>
        <w:tc>
          <w:tcPr>
            <w:tcW w:w="1001" w:type="pct"/>
            <w:shd w:val="clear" w:color="auto" w:fill="auto"/>
            <w:noWrap/>
            <w:vAlign w:val="bottom"/>
            <w:hideMark/>
          </w:tcPr>
          <w:p w:rsidR="00CE58BA" w:rsidRPr="001C25C4" w:rsidRDefault="00CE58BA" w:rsidP="009E1089">
            <w:pPr>
              <w:jc w:val="right"/>
              <w:rPr>
                <w:color w:val="000000"/>
              </w:rPr>
            </w:pPr>
            <w:r w:rsidRPr="001C25C4">
              <w:rPr>
                <w:color w:val="000000"/>
              </w:rPr>
              <w:t>8.506</w:t>
            </w:r>
          </w:p>
        </w:tc>
        <w:tc>
          <w:tcPr>
            <w:tcW w:w="931" w:type="pct"/>
            <w:shd w:val="clear" w:color="auto" w:fill="auto"/>
            <w:noWrap/>
            <w:vAlign w:val="bottom"/>
            <w:hideMark/>
          </w:tcPr>
          <w:p w:rsidR="00CE58BA" w:rsidRPr="001C25C4" w:rsidRDefault="00CE58BA" w:rsidP="009E1089">
            <w:pPr>
              <w:jc w:val="right"/>
              <w:rPr>
                <w:color w:val="000000"/>
              </w:rPr>
            </w:pPr>
            <w:r w:rsidRPr="001C25C4">
              <w:rPr>
                <w:color w:val="000000"/>
              </w:rPr>
              <w:t>7.958</w:t>
            </w:r>
          </w:p>
        </w:tc>
        <w:tc>
          <w:tcPr>
            <w:tcW w:w="965" w:type="pct"/>
            <w:shd w:val="clear" w:color="auto" w:fill="auto"/>
            <w:noWrap/>
            <w:vAlign w:val="bottom"/>
            <w:hideMark/>
          </w:tcPr>
          <w:p w:rsidR="00CE58BA" w:rsidRPr="001C25C4" w:rsidRDefault="00CE58BA" w:rsidP="009E1089">
            <w:pPr>
              <w:jc w:val="right"/>
              <w:rPr>
                <w:color w:val="000000"/>
              </w:rPr>
            </w:pPr>
            <w:r w:rsidRPr="001C25C4">
              <w:rPr>
                <w:color w:val="000000"/>
              </w:rPr>
              <w:t>6.988</w:t>
            </w:r>
          </w:p>
        </w:tc>
        <w:tc>
          <w:tcPr>
            <w:tcW w:w="1188" w:type="pct"/>
            <w:shd w:val="clear" w:color="auto" w:fill="auto"/>
            <w:noWrap/>
            <w:vAlign w:val="bottom"/>
            <w:hideMark/>
          </w:tcPr>
          <w:p w:rsidR="00CE58BA" w:rsidRPr="001C25C4" w:rsidRDefault="00CE58BA" w:rsidP="009E1089">
            <w:pPr>
              <w:jc w:val="right"/>
              <w:rPr>
                <w:color w:val="000000"/>
              </w:rPr>
            </w:pPr>
            <w:r w:rsidRPr="001C25C4">
              <w:rPr>
                <w:color w:val="000000"/>
              </w:rPr>
              <w:t>99.106</w:t>
            </w:r>
          </w:p>
        </w:tc>
      </w:tr>
      <w:tr w:rsidR="00CE58BA" w:rsidRPr="001C25C4" w:rsidTr="009E1089">
        <w:trPr>
          <w:trHeight w:val="247"/>
        </w:trPr>
        <w:tc>
          <w:tcPr>
            <w:tcW w:w="914" w:type="pct"/>
            <w:shd w:val="clear" w:color="auto" w:fill="auto"/>
            <w:noWrap/>
            <w:vAlign w:val="center"/>
          </w:tcPr>
          <w:p w:rsidR="00CE58BA" w:rsidRPr="001C25C4" w:rsidRDefault="00CE58BA" w:rsidP="009E1089">
            <w:pPr>
              <w:jc w:val="center"/>
              <w:rPr>
                <w:rFonts w:eastAsia="Times New Roman"/>
                <w:color w:val="000000"/>
              </w:rPr>
            </w:pPr>
            <w:r w:rsidRPr="001C25C4">
              <w:rPr>
                <w:rFonts w:eastAsia="Times New Roman"/>
                <w:color w:val="000000"/>
              </w:rPr>
              <w:t>110-120</w:t>
            </w:r>
          </w:p>
        </w:tc>
        <w:tc>
          <w:tcPr>
            <w:tcW w:w="1001" w:type="pct"/>
            <w:shd w:val="clear" w:color="auto" w:fill="auto"/>
            <w:noWrap/>
            <w:vAlign w:val="bottom"/>
          </w:tcPr>
          <w:p w:rsidR="00CE58BA" w:rsidRPr="001C25C4" w:rsidRDefault="00CE58BA" w:rsidP="009E1089">
            <w:pPr>
              <w:jc w:val="right"/>
              <w:rPr>
                <w:color w:val="000000"/>
              </w:rPr>
            </w:pPr>
            <w:r w:rsidRPr="001C25C4">
              <w:rPr>
                <w:color w:val="000000"/>
              </w:rPr>
              <w:t>41.915</w:t>
            </w:r>
          </w:p>
        </w:tc>
        <w:tc>
          <w:tcPr>
            <w:tcW w:w="931" w:type="pct"/>
            <w:shd w:val="clear" w:color="auto" w:fill="auto"/>
            <w:noWrap/>
            <w:vAlign w:val="bottom"/>
          </w:tcPr>
          <w:p w:rsidR="00CE58BA" w:rsidRPr="001C25C4" w:rsidRDefault="00CE58BA" w:rsidP="009E1089">
            <w:pPr>
              <w:jc w:val="right"/>
              <w:rPr>
                <w:color w:val="000000"/>
              </w:rPr>
            </w:pPr>
            <w:r w:rsidRPr="001C25C4">
              <w:rPr>
                <w:color w:val="000000"/>
              </w:rPr>
              <w:t>9.912</w:t>
            </w:r>
          </w:p>
        </w:tc>
        <w:tc>
          <w:tcPr>
            <w:tcW w:w="965" w:type="pct"/>
            <w:shd w:val="clear" w:color="auto" w:fill="auto"/>
            <w:noWrap/>
            <w:vAlign w:val="bottom"/>
          </w:tcPr>
          <w:p w:rsidR="00CE58BA" w:rsidRPr="001C25C4" w:rsidRDefault="00CE58BA" w:rsidP="009E1089">
            <w:pPr>
              <w:jc w:val="right"/>
              <w:rPr>
                <w:color w:val="000000"/>
              </w:rPr>
            </w:pPr>
            <w:r w:rsidRPr="001C25C4">
              <w:rPr>
                <w:color w:val="000000"/>
              </w:rPr>
              <w:t>9.491</w:t>
            </w:r>
          </w:p>
        </w:tc>
        <w:tc>
          <w:tcPr>
            <w:tcW w:w="1188" w:type="pct"/>
            <w:shd w:val="clear" w:color="auto" w:fill="auto"/>
            <w:noWrap/>
            <w:vAlign w:val="bottom"/>
          </w:tcPr>
          <w:p w:rsidR="00CE58BA" w:rsidRPr="001C25C4" w:rsidRDefault="00CE58BA" w:rsidP="009E1089">
            <w:pPr>
              <w:jc w:val="right"/>
              <w:rPr>
                <w:color w:val="000000"/>
              </w:rPr>
            </w:pPr>
            <w:r w:rsidRPr="001C25C4">
              <w:rPr>
                <w:color w:val="000000"/>
              </w:rPr>
              <w:t>89.859</w:t>
            </w:r>
          </w:p>
        </w:tc>
      </w:tr>
      <w:tr w:rsidR="00CE58BA" w:rsidRPr="001C25C4" w:rsidTr="009E1089">
        <w:trPr>
          <w:trHeight w:val="247"/>
        </w:trPr>
        <w:tc>
          <w:tcPr>
            <w:tcW w:w="914" w:type="pct"/>
            <w:shd w:val="clear" w:color="auto" w:fill="auto"/>
            <w:noWrap/>
            <w:vAlign w:val="center"/>
          </w:tcPr>
          <w:p w:rsidR="00CE58BA" w:rsidRPr="001C25C4" w:rsidRDefault="00CE58BA" w:rsidP="009E1089">
            <w:pPr>
              <w:jc w:val="center"/>
              <w:rPr>
                <w:rFonts w:eastAsia="Times New Roman"/>
                <w:color w:val="000000"/>
              </w:rPr>
            </w:pPr>
            <w:r w:rsidRPr="001C25C4">
              <w:rPr>
                <w:rFonts w:eastAsia="Times New Roman"/>
                <w:color w:val="000000"/>
              </w:rPr>
              <w:t>120-130</w:t>
            </w:r>
          </w:p>
        </w:tc>
        <w:tc>
          <w:tcPr>
            <w:tcW w:w="1001" w:type="pct"/>
            <w:shd w:val="clear" w:color="auto" w:fill="auto"/>
            <w:noWrap/>
            <w:vAlign w:val="bottom"/>
          </w:tcPr>
          <w:p w:rsidR="00CE58BA" w:rsidRPr="001C25C4" w:rsidRDefault="00CE58BA" w:rsidP="009E1089">
            <w:pPr>
              <w:jc w:val="right"/>
              <w:rPr>
                <w:color w:val="000000"/>
              </w:rPr>
            </w:pPr>
            <w:r w:rsidRPr="001C25C4">
              <w:rPr>
                <w:color w:val="000000"/>
              </w:rPr>
              <w:t>130.078</w:t>
            </w:r>
          </w:p>
        </w:tc>
        <w:tc>
          <w:tcPr>
            <w:tcW w:w="931" w:type="pct"/>
            <w:shd w:val="clear" w:color="auto" w:fill="auto"/>
            <w:noWrap/>
            <w:vAlign w:val="bottom"/>
          </w:tcPr>
          <w:p w:rsidR="00CE58BA" w:rsidRPr="001C25C4" w:rsidRDefault="00CE58BA" w:rsidP="009E1089">
            <w:pPr>
              <w:jc w:val="right"/>
              <w:rPr>
                <w:color w:val="000000"/>
              </w:rPr>
            </w:pPr>
            <w:r w:rsidRPr="001C25C4">
              <w:rPr>
                <w:color w:val="000000"/>
              </w:rPr>
              <w:t>4.954</w:t>
            </w:r>
          </w:p>
        </w:tc>
        <w:tc>
          <w:tcPr>
            <w:tcW w:w="965" w:type="pct"/>
            <w:shd w:val="clear" w:color="auto" w:fill="auto"/>
            <w:noWrap/>
            <w:vAlign w:val="bottom"/>
          </w:tcPr>
          <w:p w:rsidR="00CE58BA" w:rsidRPr="001C25C4" w:rsidRDefault="00CE58BA" w:rsidP="009E1089">
            <w:pPr>
              <w:jc w:val="right"/>
              <w:rPr>
                <w:color w:val="000000"/>
              </w:rPr>
            </w:pPr>
            <w:r w:rsidRPr="001C25C4">
              <w:rPr>
                <w:color w:val="000000"/>
              </w:rPr>
              <w:t>4.179</w:t>
            </w:r>
          </w:p>
        </w:tc>
        <w:tc>
          <w:tcPr>
            <w:tcW w:w="1188" w:type="pct"/>
            <w:shd w:val="clear" w:color="auto" w:fill="auto"/>
            <w:noWrap/>
            <w:vAlign w:val="bottom"/>
          </w:tcPr>
          <w:p w:rsidR="00CE58BA" w:rsidRPr="001C25C4" w:rsidRDefault="00CE58BA" w:rsidP="009E1089">
            <w:pPr>
              <w:jc w:val="right"/>
              <w:rPr>
                <w:color w:val="000000"/>
              </w:rPr>
            </w:pPr>
            <w:r w:rsidRPr="001C25C4">
              <w:rPr>
                <w:color w:val="000000"/>
              </w:rPr>
              <w:t>72.365</w:t>
            </w:r>
          </w:p>
        </w:tc>
      </w:tr>
      <w:tr w:rsidR="00CE58BA" w:rsidRPr="001C25C4" w:rsidTr="009E1089">
        <w:trPr>
          <w:trHeight w:val="401"/>
        </w:trPr>
        <w:tc>
          <w:tcPr>
            <w:tcW w:w="914" w:type="pct"/>
            <w:tcBorders>
              <w:bottom w:val="single" w:sz="12" w:space="0" w:color="auto"/>
            </w:tcBorders>
            <w:shd w:val="clear" w:color="auto" w:fill="auto"/>
            <w:noWrap/>
            <w:vAlign w:val="center"/>
          </w:tcPr>
          <w:p w:rsidR="00CE58BA" w:rsidRPr="001C25C4" w:rsidRDefault="00CE58BA" w:rsidP="009E1089">
            <w:pPr>
              <w:jc w:val="center"/>
              <w:rPr>
                <w:rFonts w:eastAsia="Times New Roman"/>
                <w:color w:val="000000"/>
              </w:rPr>
            </w:pPr>
            <w:r w:rsidRPr="001C25C4">
              <w:rPr>
                <w:rFonts w:eastAsia="Times New Roman"/>
                <w:color w:val="000000"/>
              </w:rPr>
              <w:t>130-140</w:t>
            </w:r>
          </w:p>
        </w:tc>
        <w:tc>
          <w:tcPr>
            <w:tcW w:w="1001" w:type="pct"/>
            <w:tcBorders>
              <w:bottom w:val="single" w:sz="12" w:space="0" w:color="auto"/>
            </w:tcBorders>
            <w:shd w:val="clear" w:color="auto" w:fill="auto"/>
            <w:noWrap/>
            <w:vAlign w:val="bottom"/>
          </w:tcPr>
          <w:p w:rsidR="00CE58BA" w:rsidRPr="001C25C4" w:rsidRDefault="00CE58BA" w:rsidP="009E1089">
            <w:pPr>
              <w:jc w:val="right"/>
              <w:rPr>
                <w:color w:val="000000"/>
              </w:rPr>
            </w:pPr>
            <w:r w:rsidRPr="001C25C4">
              <w:rPr>
                <w:color w:val="000000"/>
              </w:rPr>
              <w:t>338.263</w:t>
            </w:r>
          </w:p>
        </w:tc>
        <w:tc>
          <w:tcPr>
            <w:tcW w:w="931" w:type="pct"/>
            <w:tcBorders>
              <w:bottom w:val="single" w:sz="12" w:space="0" w:color="auto"/>
            </w:tcBorders>
            <w:shd w:val="clear" w:color="auto" w:fill="auto"/>
            <w:noWrap/>
            <w:vAlign w:val="bottom"/>
          </w:tcPr>
          <w:p w:rsidR="00CE58BA" w:rsidRPr="001C25C4" w:rsidRDefault="00CE58BA" w:rsidP="009E1089">
            <w:pPr>
              <w:jc w:val="right"/>
              <w:rPr>
                <w:color w:val="000000"/>
              </w:rPr>
            </w:pPr>
            <w:r w:rsidRPr="001C25C4">
              <w:rPr>
                <w:color w:val="000000"/>
              </w:rPr>
              <w:t>20.167</w:t>
            </w:r>
          </w:p>
        </w:tc>
        <w:tc>
          <w:tcPr>
            <w:tcW w:w="965" w:type="pct"/>
            <w:tcBorders>
              <w:bottom w:val="single" w:sz="12" w:space="0" w:color="auto"/>
            </w:tcBorders>
            <w:shd w:val="clear" w:color="auto" w:fill="auto"/>
            <w:noWrap/>
            <w:vAlign w:val="bottom"/>
          </w:tcPr>
          <w:p w:rsidR="00CE58BA" w:rsidRPr="001C25C4" w:rsidRDefault="00CE58BA" w:rsidP="009E1089">
            <w:pPr>
              <w:jc w:val="right"/>
              <w:rPr>
                <w:color w:val="000000"/>
              </w:rPr>
            </w:pPr>
            <w:r w:rsidRPr="001C25C4">
              <w:rPr>
                <w:color w:val="000000"/>
              </w:rPr>
              <w:t>8.611</w:t>
            </w:r>
          </w:p>
        </w:tc>
        <w:tc>
          <w:tcPr>
            <w:tcW w:w="1188" w:type="pct"/>
            <w:tcBorders>
              <w:bottom w:val="single" w:sz="12" w:space="0" w:color="auto"/>
            </w:tcBorders>
            <w:shd w:val="clear" w:color="auto" w:fill="auto"/>
            <w:noWrap/>
            <w:vAlign w:val="bottom"/>
          </w:tcPr>
          <w:p w:rsidR="00CE58BA" w:rsidRPr="001C25C4" w:rsidRDefault="00CE58BA" w:rsidP="009E1089">
            <w:pPr>
              <w:jc w:val="right"/>
              <w:rPr>
                <w:color w:val="000000"/>
              </w:rPr>
            </w:pPr>
            <w:r w:rsidRPr="001C25C4">
              <w:rPr>
                <w:color w:val="000000"/>
              </w:rPr>
              <w:t>71.676</w:t>
            </w:r>
          </w:p>
        </w:tc>
      </w:tr>
    </w:tbl>
    <w:p w:rsidR="00CE58BA" w:rsidRPr="001C25C4" w:rsidRDefault="00CE58BA" w:rsidP="00CE58BA">
      <w:pPr>
        <w:rPr>
          <w:lang w:eastAsia="zh-CN"/>
        </w:rPr>
      </w:pPr>
    </w:p>
    <w:p w:rsidR="00CE58BA" w:rsidRPr="001C25C4" w:rsidRDefault="00CE58BA" w:rsidP="001D19DD">
      <w:pPr>
        <w:rPr>
          <w:rFonts w:eastAsiaTheme="minorEastAsia"/>
          <w:color w:val="000000"/>
          <w:lang w:eastAsia="zh-CN"/>
        </w:rPr>
      </w:pPr>
      <w:r w:rsidRPr="001C25C4">
        <w:rPr>
          <w:rFonts w:hint="eastAsia"/>
          <w:lang w:eastAsia="zh-CN"/>
        </w:rPr>
        <w:t>As can be seen in t</w:t>
      </w:r>
      <w:r w:rsidRPr="001C25C4">
        <w:t>he</w:t>
      </w:r>
      <w:r w:rsidRPr="001C25C4">
        <w:rPr>
          <w:rFonts w:hint="eastAsia"/>
          <w:lang w:eastAsia="zh-CN"/>
        </w:rPr>
        <w:t xml:space="preserve"> above</w:t>
      </w:r>
      <w:r w:rsidRPr="001C25C4">
        <w:t xml:space="preserve"> Table</w:t>
      </w:r>
      <w:r w:rsidRPr="001C25C4">
        <w:rPr>
          <w:rFonts w:hint="eastAsia"/>
          <w:lang w:eastAsia="zh-CN"/>
        </w:rPr>
        <w:t xml:space="preserve"> </w:t>
      </w:r>
      <w:r w:rsidRPr="001C25C4">
        <w:rPr>
          <w:lang w:eastAsia="zh-CN"/>
        </w:rPr>
        <w:t>3</w:t>
      </w:r>
      <w:r>
        <w:rPr>
          <w:lang w:eastAsia="zh-CN"/>
        </w:rPr>
        <w:t xml:space="preserve"> </w:t>
      </w:r>
      <w:r w:rsidRPr="001C25C4">
        <w:rPr>
          <w:lang w:eastAsia="zh-CN"/>
        </w:rPr>
        <w:t xml:space="preserve">and Figure </w:t>
      </w:r>
      <w:r>
        <w:rPr>
          <w:lang w:eastAsia="zh-CN"/>
        </w:rPr>
        <w:t>4</w:t>
      </w:r>
      <w:r w:rsidRPr="001C25C4">
        <w:rPr>
          <w:lang w:eastAsia="zh-CN"/>
        </w:rPr>
        <w:t>,</w:t>
      </w:r>
      <w:r w:rsidRPr="001C25C4">
        <w:rPr>
          <w:rFonts w:hint="eastAsia"/>
          <w:lang w:eastAsia="zh-CN"/>
        </w:rPr>
        <w:t xml:space="preserve"> for the density from 20-50 veh/km is the hardest part for all the models to performs, as they all have larger errors in this ranges.</w:t>
      </w:r>
      <w:r>
        <w:rPr>
          <w:lang w:eastAsia="zh-CN"/>
        </w:rPr>
        <w:t xml:space="preserve"> </w:t>
      </w:r>
      <w:r w:rsidRPr="001C25C4">
        <w:rPr>
          <w:lang w:eastAsia="zh-CN"/>
        </w:rPr>
        <w:t xml:space="preserve">Among all </w:t>
      </w:r>
      <w:r w:rsidRPr="001C25C4">
        <w:rPr>
          <w:rFonts w:hint="eastAsia"/>
          <w:lang w:eastAsia="zh-CN"/>
        </w:rPr>
        <w:t xml:space="preserve">the </w:t>
      </w:r>
      <w:r w:rsidRPr="001C25C4">
        <w:rPr>
          <w:lang w:eastAsia="zh-CN"/>
        </w:rPr>
        <w:t>four</w:t>
      </w:r>
      <w:r w:rsidRPr="001C25C4">
        <w:rPr>
          <w:rFonts w:hint="eastAsia"/>
          <w:lang w:eastAsia="zh-CN"/>
        </w:rPr>
        <w:t xml:space="preserve"> </w:t>
      </w:r>
      <w:r w:rsidRPr="001C25C4">
        <w:t xml:space="preserve">two-parameter models, the Underwood Model </w:t>
      </w:r>
      <w:r>
        <w:t>performs the best</w:t>
      </w:r>
      <w:r w:rsidRPr="001C25C4">
        <w:t>. The</w:t>
      </w:r>
      <w:r>
        <w:rPr>
          <w:rFonts w:hint="eastAsia"/>
          <w:lang w:eastAsia="zh-CN"/>
        </w:rPr>
        <w:t xml:space="preserve"> largest MSE</w:t>
      </w:r>
      <w:r>
        <w:rPr>
          <w:lang w:eastAsia="zh-CN"/>
        </w:rPr>
        <w:t xml:space="preserve"> </w:t>
      </w:r>
      <w:r w:rsidRPr="001C25C4">
        <w:rPr>
          <w:rFonts w:hint="eastAsia"/>
          <w:lang w:eastAsia="zh-CN"/>
        </w:rPr>
        <w:t xml:space="preserve">is </w:t>
      </w:r>
      <w:r w:rsidRPr="001C25C4">
        <w:rPr>
          <w:lang w:eastAsia="zh-CN"/>
        </w:rPr>
        <w:t>226</w:t>
      </w:r>
      <w:r w:rsidRPr="001C25C4">
        <w:rPr>
          <w:rFonts w:hint="eastAsia"/>
          <w:lang w:eastAsia="zh-CN"/>
        </w:rPr>
        <w:t xml:space="preserve"> with </w:t>
      </w:r>
      <w:r>
        <w:rPr>
          <w:rFonts w:hint="eastAsia"/>
          <w:lang w:eastAsia="zh-CN"/>
        </w:rPr>
        <w:t xml:space="preserve">the density from 20-30 veh/km, </w:t>
      </w:r>
      <w:r>
        <w:rPr>
          <w:lang w:eastAsia="zh-CN"/>
        </w:rPr>
        <w:t>which</w:t>
      </w:r>
      <w:r w:rsidRPr="001C25C4">
        <w:rPr>
          <w:rFonts w:hint="eastAsia"/>
          <w:lang w:eastAsia="zh-CN"/>
        </w:rPr>
        <w:t xml:space="preserve"> double</w:t>
      </w:r>
      <w:r>
        <w:rPr>
          <w:lang w:eastAsia="zh-CN"/>
        </w:rPr>
        <w:t>s</w:t>
      </w:r>
      <w:r w:rsidRPr="001C25C4">
        <w:rPr>
          <w:rFonts w:hint="eastAsia"/>
          <w:lang w:eastAsia="zh-CN"/>
        </w:rPr>
        <w:t xml:space="preserve"> the second largest error. </w:t>
      </w:r>
      <w:r>
        <w:rPr>
          <w:lang w:eastAsia="zh-CN"/>
        </w:rPr>
        <w:t>If</w:t>
      </w:r>
      <w:r w:rsidRPr="001C25C4">
        <w:rPr>
          <w:rFonts w:hint="eastAsia"/>
          <w:lang w:eastAsia="zh-CN"/>
        </w:rPr>
        <w:t xml:space="preserve"> the density is more than 70 veh/km, the errors are </w:t>
      </w:r>
      <w:r w:rsidRPr="001C25C4">
        <w:rPr>
          <w:lang w:eastAsia="zh-CN"/>
        </w:rPr>
        <w:t>pretty</w:t>
      </w:r>
      <w:r w:rsidRPr="001C25C4">
        <w:rPr>
          <w:rFonts w:hint="eastAsia"/>
          <w:lang w:eastAsia="zh-CN"/>
        </w:rPr>
        <w:t xml:space="preserve"> small as below 20.</w:t>
      </w:r>
      <w:r w:rsidRPr="001C25C4">
        <w:rPr>
          <w:lang w:eastAsia="zh-CN"/>
        </w:rPr>
        <w:t xml:space="preserve"> </w:t>
      </w:r>
      <w:r>
        <w:rPr>
          <w:lang w:eastAsia="zh-CN"/>
        </w:rPr>
        <w:t>As for</w:t>
      </w:r>
      <w:r w:rsidRPr="001C25C4">
        <w:rPr>
          <w:lang w:eastAsia="zh-CN"/>
        </w:rPr>
        <w:t xml:space="preserve"> Greenberg Model, it has large errors</w:t>
      </w:r>
      <w:r w:rsidRPr="001C25C4">
        <w:rPr>
          <w:rFonts w:hint="eastAsia"/>
          <w:lang w:eastAsia="zh-CN"/>
        </w:rPr>
        <w:t xml:space="preserve"> in low traffic flow states (k&lt;</w:t>
      </w:r>
      <w:r w:rsidRPr="001C25C4">
        <w:rPr>
          <w:lang w:eastAsia="zh-CN"/>
        </w:rPr>
        <w:t>4</w:t>
      </w:r>
      <w:r w:rsidRPr="001C25C4">
        <w:rPr>
          <w:rFonts w:hint="eastAsia"/>
          <w:lang w:eastAsia="zh-CN"/>
        </w:rPr>
        <w:t xml:space="preserve">0 veh/km), other performances are </w:t>
      </w:r>
      <w:r w:rsidRPr="001C25C4">
        <w:rPr>
          <w:lang w:eastAsia="zh-CN"/>
        </w:rPr>
        <w:t>acceptable</w:t>
      </w:r>
      <w:r w:rsidRPr="001C25C4">
        <w:rPr>
          <w:rFonts w:hint="eastAsia"/>
          <w:lang w:eastAsia="zh-CN"/>
        </w:rPr>
        <w:t xml:space="preserve">. Compare to these </w:t>
      </w:r>
      <w:r>
        <w:rPr>
          <w:lang w:eastAsia="zh-CN"/>
        </w:rPr>
        <w:t>two</w:t>
      </w:r>
      <w:r w:rsidRPr="001C25C4">
        <w:rPr>
          <w:rFonts w:hint="eastAsia"/>
          <w:lang w:eastAsia="zh-CN"/>
        </w:rPr>
        <w:t xml:space="preserve"> models, </w:t>
      </w:r>
      <w:r w:rsidRPr="001C25C4">
        <w:rPr>
          <w:lang w:eastAsia="zh-CN"/>
        </w:rPr>
        <w:t>the</w:t>
      </w:r>
      <w:r w:rsidRPr="001C25C4">
        <w:rPr>
          <w:rFonts w:hint="eastAsia"/>
          <w:lang w:eastAsia="zh-CN"/>
        </w:rPr>
        <w:t xml:space="preserve"> errors of N</w:t>
      </w:r>
      <w:r w:rsidRPr="001C25C4">
        <w:rPr>
          <w:rFonts w:eastAsia="Times New Roman"/>
          <w:color w:val="000000"/>
        </w:rPr>
        <w:t>orthwestern</w:t>
      </w:r>
      <w:r w:rsidRPr="001C25C4">
        <w:rPr>
          <w:rFonts w:eastAsiaTheme="minorEastAsia" w:hint="eastAsia"/>
          <w:color w:val="000000"/>
          <w:lang w:eastAsia="zh-CN"/>
        </w:rPr>
        <w:t xml:space="preserve"> model are bigger, but it still more </w:t>
      </w:r>
      <w:r w:rsidRPr="001C25C4">
        <w:rPr>
          <w:rFonts w:eastAsiaTheme="minorEastAsia"/>
          <w:color w:val="000000"/>
          <w:lang w:eastAsia="zh-CN"/>
        </w:rPr>
        <w:t>accurate</w:t>
      </w:r>
      <w:r w:rsidRPr="001C25C4">
        <w:rPr>
          <w:rFonts w:eastAsiaTheme="minorEastAsia" w:hint="eastAsia"/>
          <w:color w:val="000000"/>
          <w:lang w:eastAsia="zh-CN"/>
        </w:rPr>
        <w:t xml:space="preserve"> than Greenshield </w:t>
      </w:r>
      <w:r w:rsidRPr="001C25C4">
        <w:rPr>
          <w:rFonts w:eastAsiaTheme="minorEastAsia"/>
          <w:color w:val="000000"/>
          <w:lang w:eastAsia="zh-CN"/>
        </w:rPr>
        <w:t>M</w:t>
      </w:r>
      <w:r w:rsidRPr="001C25C4">
        <w:rPr>
          <w:rFonts w:eastAsiaTheme="minorEastAsia" w:hint="eastAsia"/>
          <w:color w:val="000000"/>
          <w:lang w:eastAsia="zh-CN"/>
        </w:rPr>
        <w:t xml:space="preserve">odel. </w:t>
      </w:r>
    </w:p>
    <w:p w:rsidR="00CE58BA" w:rsidRDefault="00CE58BA" w:rsidP="00312B9A">
      <w:pPr>
        <w:jc w:val="left"/>
      </w:pPr>
      <w:r w:rsidRPr="001C25C4">
        <w:rPr>
          <w:rFonts w:hint="eastAsia"/>
          <w:b/>
          <w:lang w:eastAsia="zh-CN"/>
        </w:rPr>
        <w:lastRenderedPageBreak/>
        <w:t>Figure</w:t>
      </w:r>
      <w:r w:rsidRPr="001C25C4">
        <w:rPr>
          <w:b/>
        </w:rPr>
        <w:t xml:space="preserve"> </w:t>
      </w:r>
      <w:r>
        <w:rPr>
          <w:b/>
          <w:lang w:eastAsia="zh-CN"/>
        </w:rPr>
        <w:t>4:</w:t>
      </w:r>
      <w:r w:rsidRPr="001C25C4">
        <w:t xml:space="preserve"> </w:t>
      </w:r>
      <w:r>
        <w:t>M</w:t>
      </w:r>
      <w:r w:rsidRPr="001C25C4">
        <w:t>ean square errors of six models by LSM</w:t>
      </w:r>
      <w:r>
        <w:rPr>
          <w:noProof/>
          <w:lang w:eastAsia="zh-CN"/>
        </w:rPr>
        <w:drawing>
          <wp:inline distT="0" distB="0" distL="0" distR="0" wp14:anchorId="17E1FD87" wp14:editId="53C7DAE4">
            <wp:extent cx="5838825" cy="35147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12B9A" w:rsidRDefault="00312B9A" w:rsidP="001418A2">
      <w:pPr>
        <w:pStyle w:val="SectionHeadingLevel3"/>
      </w:pPr>
    </w:p>
    <w:p w:rsidR="001418A2" w:rsidRDefault="001418A2" w:rsidP="001418A2">
      <w:pPr>
        <w:pStyle w:val="SectionHeadingLevel3"/>
      </w:pPr>
      <w:r>
        <w:t>3</w:t>
      </w:r>
      <w:r w:rsidR="00CE58BA">
        <w:t>.1.2</w:t>
      </w:r>
      <w:r>
        <w:t xml:space="preserve">. </w:t>
      </w:r>
      <w:r w:rsidR="001D19DD" w:rsidRPr="001D19DD">
        <w:t>Ranking</w:t>
      </w:r>
    </w:p>
    <w:p w:rsidR="001D19DD" w:rsidRDefault="001D19DD" w:rsidP="001D19DD">
      <w:pPr>
        <w:spacing w:after="200"/>
      </w:pPr>
      <w:r w:rsidRPr="001C25C4">
        <w:rPr>
          <w:rFonts w:hint="eastAsia"/>
        </w:rPr>
        <w:t xml:space="preserve">Table </w:t>
      </w:r>
      <w:r>
        <w:t>4</w:t>
      </w:r>
      <w:r w:rsidRPr="001C25C4">
        <w:rPr>
          <w:rFonts w:hint="eastAsia"/>
        </w:rPr>
        <w:t xml:space="preserve"> </w:t>
      </w:r>
      <w:r w:rsidRPr="001C25C4">
        <w:t>calculate</w:t>
      </w:r>
      <w:r w:rsidRPr="001C25C4">
        <w:rPr>
          <w:rFonts w:hint="eastAsia"/>
        </w:rPr>
        <w:t xml:space="preserve"> the overall three types of errors of the six speed-density models</w:t>
      </w:r>
      <w:r>
        <w:t xml:space="preserve">. </w:t>
      </w:r>
      <w:r w:rsidRPr="001D19DD">
        <w:rPr>
          <w:rFonts w:hint="eastAsia"/>
          <w:bCs/>
        </w:rPr>
        <w:t xml:space="preserve">From </w:t>
      </w:r>
      <w:r w:rsidRPr="001D19DD">
        <w:rPr>
          <w:bCs/>
        </w:rPr>
        <w:t>the table,</w:t>
      </w:r>
      <w:r w:rsidRPr="001D19DD">
        <w:rPr>
          <w:rFonts w:hint="eastAsia"/>
          <w:bCs/>
        </w:rPr>
        <w:t xml:space="preserve"> </w:t>
      </w:r>
      <w:r>
        <w:t>we can see that</w:t>
      </w:r>
      <w:r w:rsidRPr="001C25C4">
        <w:t xml:space="preserve"> </w:t>
      </w:r>
      <w:r w:rsidRPr="001C25C4">
        <w:rPr>
          <w:rFonts w:hint="eastAsia"/>
        </w:rPr>
        <w:t>errors</w:t>
      </w:r>
      <w:r w:rsidRPr="001C25C4">
        <w:t xml:space="preserve"> of Underwood Model are smaller than other models, which mean this calibrated model performs the experimental data best</w:t>
      </w:r>
      <w:r>
        <w:t>, followed by</w:t>
      </w:r>
      <w:r w:rsidRPr="001C25C4">
        <w:t xml:space="preserve"> Greenberg </w:t>
      </w:r>
      <w:r>
        <w:t xml:space="preserve">Model, Northwestern Model, and </w:t>
      </w:r>
      <w:r w:rsidRPr="001C25C4">
        <w:t xml:space="preserve">Greenshields Model. </w:t>
      </w:r>
      <w:r w:rsidRPr="001C25C4">
        <w:rPr>
          <w:rFonts w:hint="eastAsia"/>
        </w:rPr>
        <w:t xml:space="preserve">These models are all calibrated </w:t>
      </w:r>
      <w:r w:rsidRPr="001D19DD">
        <w:rPr>
          <w:rFonts w:hint="eastAsia"/>
          <w:bCs/>
        </w:rPr>
        <w:t xml:space="preserve">under </w:t>
      </w:r>
      <w:r w:rsidRPr="001D19DD">
        <w:rPr>
          <w:bCs/>
        </w:rPr>
        <w:t>the generated experimental data</w:t>
      </w:r>
      <w:r w:rsidRPr="001C25C4">
        <w:rPr>
          <w:rFonts w:hint="eastAsia"/>
        </w:rPr>
        <w:t xml:space="preserve">. </w:t>
      </w:r>
      <w:r>
        <w:t xml:space="preserve">It should be pointed out that the sample selection bias significantly affects the performance of Greenberg model, evidenced by the difference between results from observational data and experimental data. </w:t>
      </w:r>
    </w:p>
    <w:p w:rsidR="001D19DD" w:rsidRPr="001C25C4" w:rsidRDefault="001D19DD" w:rsidP="001D19DD">
      <w:pPr>
        <w:rPr>
          <w:lang w:eastAsia="zh-CN"/>
        </w:rPr>
      </w:pPr>
      <w:r w:rsidRPr="001C25C4">
        <w:rPr>
          <w:b/>
          <w:lang w:eastAsia="zh-CN"/>
        </w:rPr>
        <w:t xml:space="preserve">Table </w:t>
      </w:r>
      <w:r>
        <w:rPr>
          <w:b/>
          <w:lang w:eastAsia="zh-CN"/>
        </w:rPr>
        <w:t>4:</w:t>
      </w:r>
      <w:r w:rsidRPr="001C25C4">
        <w:rPr>
          <w:lang w:eastAsia="zh-CN"/>
        </w:rPr>
        <w:t xml:space="preserve"> Model validation of six speed-density models </w:t>
      </w:r>
    </w:p>
    <w:tbl>
      <w:tblPr>
        <w:tblStyle w:val="1"/>
        <w:tblW w:w="9329" w:type="dxa"/>
        <w:tblLook w:val="06A0" w:firstRow="1" w:lastRow="0" w:firstColumn="1" w:lastColumn="0" w:noHBand="1" w:noVBand="1"/>
      </w:tblPr>
      <w:tblGrid>
        <w:gridCol w:w="2331"/>
        <w:gridCol w:w="2332"/>
        <w:gridCol w:w="2333"/>
        <w:gridCol w:w="2333"/>
      </w:tblGrid>
      <w:tr w:rsidR="001D19DD" w:rsidRPr="001D19DD" w:rsidTr="009E1089">
        <w:trPr>
          <w:cnfStyle w:val="100000000000" w:firstRow="1" w:lastRow="0" w:firstColumn="0" w:lastColumn="0" w:oddVBand="0" w:evenVBand="0" w:oddHBand="0"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2331" w:type="dxa"/>
          </w:tcPr>
          <w:p w:rsidR="001D19DD" w:rsidRPr="001D19DD" w:rsidRDefault="001D19DD" w:rsidP="009E1089">
            <w:pPr>
              <w:rPr>
                <w:b w:val="0"/>
                <w:sz w:val="22"/>
                <w:szCs w:val="22"/>
              </w:rPr>
            </w:pPr>
            <w:r w:rsidRPr="001D19DD">
              <w:rPr>
                <w:b w:val="0"/>
                <w:sz w:val="22"/>
                <w:szCs w:val="22"/>
              </w:rPr>
              <w:t>Single-regime models</w:t>
            </w:r>
          </w:p>
        </w:tc>
        <w:tc>
          <w:tcPr>
            <w:tcW w:w="2332" w:type="dxa"/>
          </w:tcPr>
          <w:p w:rsidR="001D19DD" w:rsidRPr="001D19DD" w:rsidRDefault="001D19DD" w:rsidP="009E1089">
            <w:pPr>
              <w:jc w:val="center"/>
              <w:cnfStyle w:val="100000000000" w:firstRow="1" w:lastRow="0" w:firstColumn="0" w:lastColumn="0" w:oddVBand="0" w:evenVBand="0" w:oddHBand="0" w:evenHBand="0" w:firstRowFirstColumn="0" w:firstRowLastColumn="0" w:lastRowFirstColumn="0" w:lastRowLastColumn="0"/>
              <w:rPr>
                <w:b w:val="0"/>
                <w:sz w:val="22"/>
                <w:szCs w:val="22"/>
                <w:lang w:eastAsia="zh-CN"/>
              </w:rPr>
            </w:pPr>
            <w:r w:rsidRPr="001D19DD">
              <w:rPr>
                <w:b w:val="0"/>
                <w:sz w:val="22"/>
                <w:szCs w:val="22"/>
                <w:lang w:eastAsia="zh-CN"/>
              </w:rPr>
              <w:t>Relative error</w:t>
            </w:r>
          </w:p>
          <w:p w:rsidR="001D19DD" w:rsidRPr="001D19DD" w:rsidRDefault="001D19DD" w:rsidP="009E1089">
            <w:pPr>
              <w:jc w:val="center"/>
              <w:cnfStyle w:val="100000000000" w:firstRow="1" w:lastRow="0" w:firstColumn="0" w:lastColumn="0" w:oddVBand="0" w:evenVBand="0" w:oddHBand="0" w:evenHBand="0" w:firstRowFirstColumn="0" w:firstRowLastColumn="0" w:lastRowFirstColumn="0" w:lastRowLastColumn="0"/>
              <w:rPr>
                <w:b w:val="0"/>
                <w:sz w:val="22"/>
                <w:szCs w:val="22"/>
                <w:lang w:eastAsia="zh-CN"/>
              </w:rPr>
            </w:pPr>
            <w:r w:rsidRPr="001D19DD">
              <w:rPr>
                <w:b w:val="0"/>
                <w:sz w:val="22"/>
                <w:szCs w:val="22"/>
                <w:lang w:eastAsia="zh-CN"/>
              </w:rPr>
              <w:t>(per point)</w:t>
            </w:r>
          </w:p>
        </w:tc>
        <w:tc>
          <w:tcPr>
            <w:tcW w:w="2333" w:type="dxa"/>
          </w:tcPr>
          <w:p w:rsidR="001D19DD" w:rsidRPr="001D19DD" w:rsidRDefault="001D19DD" w:rsidP="009E1089">
            <w:pPr>
              <w:jc w:val="center"/>
              <w:cnfStyle w:val="100000000000" w:firstRow="1" w:lastRow="0" w:firstColumn="0" w:lastColumn="0" w:oddVBand="0" w:evenVBand="0" w:oddHBand="0" w:evenHBand="0" w:firstRowFirstColumn="0" w:firstRowLastColumn="0" w:lastRowFirstColumn="0" w:lastRowLastColumn="0"/>
              <w:rPr>
                <w:b w:val="0"/>
                <w:sz w:val="22"/>
                <w:szCs w:val="22"/>
                <w:lang w:eastAsia="zh-CN"/>
              </w:rPr>
            </w:pPr>
            <w:r w:rsidRPr="001D19DD">
              <w:rPr>
                <w:b w:val="0"/>
                <w:sz w:val="22"/>
                <w:szCs w:val="22"/>
              </w:rPr>
              <w:t>Mean square error</w:t>
            </w:r>
          </w:p>
        </w:tc>
        <w:tc>
          <w:tcPr>
            <w:tcW w:w="2333" w:type="dxa"/>
          </w:tcPr>
          <w:p w:rsidR="001D19DD" w:rsidRPr="001D19DD" w:rsidRDefault="001D19DD" w:rsidP="009E1089">
            <w:pPr>
              <w:jc w:val="center"/>
              <w:cnfStyle w:val="100000000000" w:firstRow="1" w:lastRow="0" w:firstColumn="0" w:lastColumn="0" w:oddVBand="0" w:evenVBand="0" w:oddHBand="0" w:evenHBand="0" w:firstRowFirstColumn="0" w:firstRowLastColumn="0" w:lastRowFirstColumn="0" w:lastRowLastColumn="0"/>
              <w:rPr>
                <w:b w:val="0"/>
                <w:sz w:val="22"/>
                <w:szCs w:val="22"/>
                <w:lang w:eastAsia="zh-CN"/>
              </w:rPr>
            </w:pPr>
            <w:r w:rsidRPr="001D19DD">
              <w:rPr>
                <w:b w:val="0"/>
                <w:sz w:val="22"/>
                <w:szCs w:val="22"/>
              </w:rPr>
              <w:t>Root-mean-square error</w:t>
            </w:r>
          </w:p>
        </w:tc>
      </w:tr>
      <w:tr w:rsidR="001D19DD" w:rsidRPr="001D19DD" w:rsidTr="009E1089">
        <w:trPr>
          <w:trHeight w:val="468"/>
        </w:trPr>
        <w:tc>
          <w:tcPr>
            <w:cnfStyle w:val="001000000000" w:firstRow="0" w:lastRow="0" w:firstColumn="1" w:lastColumn="0" w:oddVBand="0" w:evenVBand="0" w:oddHBand="0" w:evenHBand="0" w:firstRowFirstColumn="0" w:firstRowLastColumn="0" w:lastRowFirstColumn="0" w:lastRowLastColumn="0"/>
            <w:tcW w:w="2331" w:type="dxa"/>
          </w:tcPr>
          <w:p w:rsidR="001D19DD" w:rsidRPr="001D19DD" w:rsidRDefault="001D19DD" w:rsidP="009E1089">
            <w:pPr>
              <w:rPr>
                <w:b w:val="0"/>
                <w:sz w:val="22"/>
                <w:szCs w:val="22"/>
              </w:rPr>
            </w:pPr>
            <w:r w:rsidRPr="001D19DD">
              <w:rPr>
                <w:b w:val="0"/>
                <w:sz w:val="22"/>
                <w:szCs w:val="22"/>
              </w:rPr>
              <w:t>Greenshields (1935)</w:t>
            </w:r>
          </w:p>
        </w:tc>
        <w:tc>
          <w:tcPr>
            <w:tcW w:w="2332" w:type="dxa"/>
          </w:tcPr>
          <w:p w:rsidR="001D19DD" w:rsidRPr="001D19DD" w:rsidRDefault="001D19DD" w:rsidP="009E1089">
            <w:pPr>
              <w:jc w:val="center"/>
              <w:cnfStyle w:val="000000000000" w:firstRow="0" w:lastRow="0" w:firstColumn="0" w:lastColumn="0" w:oddVBand="0" w:evenVBand="0" w:oddHBand="0" w:evenHBand="0" w:firstRowFirstColumn="0" w:firstRowLastColumn="0" w:lastRowFirstColumn="0" w:lastRowLastColumn="0"/>
              <w:rPr>
                <w:sz w:val="22"/>
                <w:szCs w:val="22"/>
              </w:rPr>
            </w:pPr>
            <w:r w:rsidRPr="001D19DD">
              <w:rPr>
                <w:sz w:val="22"/>
                <w:szCs w:val="22"/>
              </w:rPr>
              <w:t>58.52%</w:t>
            </w:r>
          </w:p>
        </w:tc>
        <w:tc>
          <w:tcPr>
            <w:tcW w:w="2333" w:type="dxa"/>
          </w:tcPr>
          <w:p w:rsidR="001D19DD" w:rsidRPr="001D19DD" w:rsidRDefault="001D19DD" w:rsidP="009E1089">
            <w:pPr>
              <w:jc w:val="center"/>
              <w:cnfStyle w:val="000000000000" w:firstRow="0" w:lastRow="0" w:firstColumn="0" w:lastColumn="0" w:oddVBand="0" w:evenVBand="0" w:oddHBand="0" w:evenHBand="0" w:firstRowFirstColumn="0" w:firstRowLastColumn="0" w:lastRowFirstColumn="0" w:lastRowLastColumn="0"/>
              <w:rPr>
                <w:sz w:val="22"/>
                <w:szCs w:val="22"/>
              </w:rPr>
            </w:pPr>
            <w:r w:rsidRPr="001D19DD">
              <w:rPr>
                <w:sz w:val="22"/>
                <w:szCs w:val="22"/>
              </w:rPr>
              <w:t>198.102</w:t>
            </w:r>
          </w:p>
        </w:tc>
        <w:tc>
          <w:tcPr>
            <w:tcW w:w="2333" w:type="dxa"/>
          </w:tcPr>
          <w:p w:rsidR="001D19DD" w:rsidRPr="001D19DD" w:rsidRDefault="001D19DD" w:rsidP="009E1089">
            <w:pPr>
              <w:jc w:val="center"/>
              <w:cnfStyle w:val="000000000000" w:firstRow="0" w:lastRow="0" w:firstColumn="0" w:lastColumn="0" w:oddVBand="0" w:evenVBand="0" w:oddHBand="0" w:evenHBand="0" w:firstRowFirstColumn="0" w:firstRowLastColumn="0" w:lastRowFirstColumn="0" w:lastRowLastColumn="0"/>
              <w:rPr>
                <w:sz w:val="22"/>
                <w:szCs w:val="22"/>
              </w:rPr>
            </w:pPr>
            <w:r w:rsidRPr="001D19DD">
              <w:rPr>
                <w:sz w:val="22"/>
                <w:szCs w:val="22"/>
              </w:rPr>
              <w:t>14.075</w:t>
            </w:r>
          </w:p>
        </w:tc>
      </w:tr>
      <w:tr w:rsidR="001D19DD" w:rsidRPr="001D19DD" w:rsidTr="009E1089">
        <w:trPr>
          <w:trHeight w:val="468"/>
        </w:trPr>
        <w:tc>
          <w:tcPr>
            <w:cnfStyle w:val="001000000000" w:firstRow="0" w:lastRow="0" w:firstColumn="1" w:lastColumn="0" w:oddVBand="0" w:evenVBand="0" w:oddHBand="0" w:evenHBand="0" w:firstRowFirstColumn="0" w:firstRowLastColumn="0" w:lastRowFirstColumn="0" w:lastRowLastColumn="0"/>
            <w:tcW w:w="2331" w:type="dxa"/>
          </w:tcPr>
          <w:p w:rsidR="001D19DD" w:rsidRPr="001D19DD" w:rsidRDefault="001D19DD" w:rsidP="009E1089">
            <w:pPr>
              <w:rPr>
                <w:b w:val="0"/>
                <w:sz w:val="22"/>
                <w:szCs w:val="22"/>
              </w:rPr>
            </w:pPr>
            <w:r w:rsidRPr="001D19DD">
              <w:rPr>
                <w:b w:val="0"/>
                <w:sz w:val="22"/>
                <w:szCs w:val="22"/>
              </w:rPr>
              <w:t>Greenberg (1959)</w:t>
            </w:r>
          </w:p>
        </w:tc>
        <w:tc>
          <w:tcPr>
            <w:tcW w:w="2332" w:type="dxa"/>
          </w:tcPr>
          <w:p w:rsidR="001D19DD" w:rsidRPr="001D19DD" w:rsidRDefault="001D19DD" w:rsidP="009E1089">
            <w:pPr>
              <w:jc w:val="center"/>
              <w:cnfStyle w:val="000000000000" w:firstRow="0" w:lastRow="0" w:firstColumn="0" w:lastColumn="0" w:oddVBand="0" w:evenVBand="0" w:oddHBand="0" w:evenHBand="0" w:firstRowFirstColumn="0" w:firstRowLastColumn="0" w:lastRowFirstColumn="0" w:lastRowLastColumn="0"/>
              <w:rPr>
                <w:sz w:val="22"/>
                <w:szCs w:val="22"/>
              </w:rPr>
            </w:pPr>
            <w:r w:rsidRPr="001D19DD">
              <w:rPr>
                <w:sz w:val="22"/>
                <w:szCs w:val="22"/>
              </w:rPr>
              <w:t>22.88%</w:t>
            </w:r>
          </w:p>
        </w:tc>
        <w:tc>
          <w:tcPr>
            <w:tcW w:w="2333" w:type="dxa"/>
          </w:tcPr>
          <w:p w:rsidR="001D19DD" w:rsidRPr="001D19DD" w:rsidRDefault="001D19DD" w:rsidP="009E1089">
            <w:pPr>
              <w:jc w:val="center"/>
              <w:cnfStyle w:val="000000000000" w:firstRow="0" w:lastRow="0" w:firstColumn="0" w:lastColumn="0" w:oddVBand="0" w:evenVBand="0" w:oddHBand="0" w:evenHBand="0" w:firstRowFirstColumn="0" w:firstRowLastColumn="0" w:lastRowFirstColumn="0" w:lastRowLastColumn="0"/>
              <w:rPr>
                <w:sz w:val="22"/>
                <w:szCs w:val="22"/>
              </w:rPr>
            </w:pPr>
            <w:r w:rsidRPr="001D19DD">
              <w:rPr>
                <w:sz w:val="22"/>
                <w:szCs w:val="22"/>
              </w:rPr>
              <w:t>86.334</w:t>
            </w:r>
          </w:p>
        </w:tc>
        <w:tc>
          <w:tcPr>
            <w:tcW w:w="2333" w:type="dxa"/>
          </w:tcPr>
          <w:p w:rsidR="001D19DD" w:rsidRPr="001D19DD" w:rsidRDefault="001D19DD" w:rsidP="009E1089">
            <w:pPr>
              <w:jc w:val="center"/>
              <w:cnfStyle w:val="000000000000" w:firstRow="0" w:lastRow="0" w:firstColumn="0" w:lastColumn="0" w:oddVBand="0" w:evenVBand="0" w:oddHBand="0" w:evenHBand="0" w:firstRowFirstColumn="0" w:firstRowLastColumn="0" w:lastRowFirstColumn="0" w:lastRowLastColumn="0"/>
              <w:rPr>
                <w:sz w:val="22"/>
                <w:szCs w:val="22"/>
              </w:rPr>
            </w:pPr>
            <w:r w:rsidRPr="001D19DD">
              <w:rPr>
                <w:sz w:val="22"/>
                <w:szCs w:val="22"/>
              </w:rPr>
              <w:t>9.292</w:t>
            </w:r>
          </w:p>
        </w:tc>
      </w:tr>
      <w:tr w:rsidR="001D19DD" w:rsidRPr="001D19DD" w:rsidTr="009E1089">
        <w:trPr>
          <w:trHeight w:val="468"/>
        </w:trPr>
        <w:tc>
          <w:tcPr>
            <w:cnfStyle w:val="001000000000" w:firstRow="0" w:lastRow="0" w:firstColumn="1" w:lastColumn="0" w:oddVBand="0" w:evenVBand="0" w:oddHBand="0" w:evenHBand="0" w:firstRowFirstColumn="0" w:firstRowLastColumn="0" w:lastRowFirstColumn="0" w:lastRowLastColumn="0"/>
            <w:tcW w:w="2331" w:type="dxa"/>
          </w:tcPr>
          <w:p w:rsidR="001D19DD" w:rsidRPr="001D19DD" w:rsidRDefault="001D19DD" w:rsidP="009E1089">
            <w:pPr>
              <w:rPr>
                <w:b w:val="0"/>
                <w:sz w:val="22"/>
                <w:szCs w:val="22"/>
              </w:rPr>
            </w:pPr>
            <w:r w:rsidRPr="001D19DD">
              <w:rPr>
                <w:b w:val="0"/>
                <w:sz w:val="22"/>
                <w:szCs w:val="22"/>
              </w:rPr>
              <w:t>Underwood (1961)</w:t>
            </w:r>
          </w:p>
        </w:tc>
        <w:tc>
          <w:tcPr>
            <w:tcW w:w="2332" w:type="dxa"/>
          </w:tcPr>
          <w:p w:rsidR="001D19DD" w:rsidRPr="001D19DD" w:rsidRDefault="001D19DD" w:rsidP="009E1089">
            <w:pPr>
              <w:jc w:val="center"/>
              <w:cnfStyle w:val="000000000000" w:firstRow="0" w:lastRow="0" w:firstColumn="0" w:lastColumn="0" w:oddVBand="0" w:evenVBand="0" w:oddHBand="0" w:evenHBand="0" w:firstRowFirstColumn="0" w:firstRowLastColumn="0" w:lastRowFirstColumn="0" w:lastRowLastColumn="0"/>
              <w:rPr>
                <w:sz w:val="22"/>
                <w:szCs w:val="22"/>
              </w:rPr>
            </w:pPr>
            <w:r w:rsidRPr="001D19DD">
              <w:rPr>
                <w:sz w:val="22"/>
                <w:szCs w:val="22"/>
              </w:rPr>
              <w:t>17.43%</w:t>
            </w:r>
          </w:p>
        </w:tc>
        <w:tc>
          <w:tcPr>
            <w:tcW w:w="2333" w:type="dxa"/>
          </w:tcPr>
          <w:p w:rsidR="001D19DD" w:rsidRPr="001D19DD" w:rsidRDefault="001D19DD" w:rsidP="009E1089">
            <w:pPr>
              <w:jc w:val="center"/>
              <w:cnfStyle w:val="000000000000" w:firstRow="0" w:lastRow="0" w:firstColumn="0" w:lastColumn="0" w:oddVBand="0" w:evenVBand="0" w:oddHBand="0" w:evenHBand="0" w:firstRowFirstColumn="0" w:firstRowLastColumn="0" w:lastRowFirstColumn="0" w:lastRowLastColumn="0"/>
              <w:rPr>
                <w:sz w:val="22"/>
                <w:szCs w:val="22"/>
              </w:rPr>
            </w:pPr>
            <w:r w:rsidRPr="001D19DD">
              <w:rPr>
                <w:sz w:val="22"/>
                <w:szCs w:val="22"/>
              </w:rPr>
              <w:t>47.511</w:t>
            </w:r>
          </w:p>
        </w:tc>
        <w:tc>
          <w:tcPr>
            <w:tcW w:w="2333" w:type="dxa"/>
          </w:tcPr>
          <w:p w:rsidR="001D19DD" w:rsidRPr="001D19DD" w:rsidRDefault="001D19DD" w:rsidP="009E1089">
            <w:pPr>
              <w:jc w:val="center"/>
              <w:cnfStyle w:val="000000000000" w:firstRow="0" w:lastRow="0" w:firstColumn="0" w:lastColumn="0" w:oddVBand="0" w:evenVBand="0" w:oddHBand="0" w:evenHBand="0" w:firstRowFirstColumn="0" w:firstRowLastColumn="0" w:lastRowFirstColumn="0" w:lastRowLastColumn="0"/>
              <w:rPr>
                <w:sz w:val="22"/>
                <w:szCs w:val="22"/>
              </w:rPr>
            </w:pPr>
            <w:r w:rsidRPr="001D19DD">
              <w:rPr>
                <w:sz w:val="22"/>
                <w:szCs w:val="22"/>
              </w:rPr>
              <w:t>6.896</w:t>
            </w:r>
          </w:p>
        </w:tc>
      </w:tr>
      <w:tr w:rsidR="001D19DD" w:rsidRPr="001D19DD" w:rsidTr="009E1089">
        <w:trPr>
          <w:trHeight w:val="468"/>
        </w:trPr>
        <w:tc>
          <w:tcPr>
            <w:cnfStyle w:val="001000000000" w:firstRow="0" w:lastRow="0" w:firstColumn="1" w:lastColumn="0" w:oddVBand="0" w:evenVBand="0" w:oddHBand="0" w:evenHBand="0" w:firstRowFirstColumn="0" w:firstRowLastColumn="0" w:lastRowFirstColumn="0" w:lastRowLastColumn="0"/>
            <w:tcW w:w="2331" w:type="dxa"/>
          </w:tcPr>
          <w:p w:rsidR="001D19DD" w:rsidRPr="001D19DD" w:rsidRDefault="001D19DD" w:rsidP="009E1089">
            <w:pPr>
              <w:rPr>
                <w:b w:val="0"/>
                <w:sz w:val="22"/>
                <w:szCs w:val="22"/>
              </w:rPr>
            </w:pPr>
            <w:r w:rsidRPr="001D19DD">
              <w:rPr>
                <w:b w:val="0"/>
                <w:sz w:val="22"/>
                <w:szCs w:val="22"/>
              </w:rPr>
              <w:t>Northwestern (1967)</w:t>
            </w:r>
          </w:p>
        </w:tc>
        <w:tc>
          <w:tcPr>
            <w:tcW w:w="2332" w:type="dxa"/>
          </w:tcPr>
          <w:p w:rsidR="001D19DD" w:rsidRPr="001D19DD" w:rsidRDefault="001D19DD" w:rsidP="009E1089">
            <w:pPr>
              <w:jc w:val="center"/>
              <w:cnfStyle w:val="000000000000" w:firstRow="0" w:lastRow="0" w:firstColumn="0" w:lastColumn="0" w:oddVBand="0" w:evenVBand="0" w:oddHBand="0" w:evenHBand="0" w:firstRowFirstColumn="0" w:firstRowLastColumn="0" w:lastRowFirstColumn="0" w:lastRowLastColumn="0"/>
              <w:rPr>
                <w:sz w:val="22"/>
                <w:szCs w:val="22"/>
              </w:rPr>
            </w:pPr>
            <w:r w:rsidRPr="001D19DD">
              <w:rPr>
                <w:sz w:val="22"/>
                <w:szCs w:val="22"/>
              </w:rPr>
              <w:t>42.41%</w:t>
            </w:r>
          </w:p>
        </w:tc>
        <w:tc>
          <w:tcPr>
            <w:tcW w:w="2333" w:type="dxa"/>
          </w:tcPr>
          <w:p w:rsidR="001D19DD" w:rsidRPr="001D19DD" w:rsidRDefault="001D19DD" w:rsidP="009E1089">
            <w:pPr>
              <w:jc w:val="center"/>
              <w:cnfStyle w:val="000000000000" w:firstRow="0" w:lastRow="0" w:firstColumn="0" w:lastColumn="0" w:oddVBand="0" w:evenVBand="0" w:oddHBand="0" w:evenHBand="0" w:firstRowFirstColumn="0" w:firstRowLastColumn="0" w:lastRowFirstColumn="0" w:lastRowLastColumn="0"/>
              <w:rPr>
                <w:sz w:val="22"/>
                <w:szCs w:val="22"/>
              </w:rPr>
            </w:pPr>
            <w:r w:rsidRPr="001D19DD">
              <w:rPr>
                <w:sz w:val="22"/>
                <w:szCs w:val="22"/>
              </w:rPr>
              <w:t>79.044</w:t>
            </w:r>
          </w:p>
        </w:tc>
        <w:tc>
          <w:tcPr>
            <w:tcW w:w="2333" w:type="dxa"/>
          </w:tcPr>
          <w:p w:rsidR="001D19DD" w:rsidRPr="001D19DD" w:rsidRDefault="001D19DD" w:rsidP="009E1089">
            <w:pPr>
              <w:jc w:val="center"/>
              <w:cnfStyle w:val="000000000000" w:firstRow="0" w:lastRow="0" w:firstColumn="0" w:lastColumn="0" w:oddVBand="0" w:evenVBand="0" w:oddHBand="0" w:evenHBand="0" w:firstRowFirstColumn="0" w:firstRowLastColumn="0" w:lastRowFirstColumn="0" w:lastRowLastColumn="0"/>
              <w:rPr>
                <w:sz w:val="22"/>
                <w:szCs w:val="22"/>
              </w:rPr>
            </w:pPr>
            <w:r w:rsidRPr="001D19DD">
              <w:rPr>
                <w:sz w:val="22"/>
                <w:szCs w:val="22"/>
              </w:rPr>
              <w:t>8.891</w:t>
            </w:r>
          </w:p>
        </w:tc>
      </w:tr>
    </w:tbl>
    <w:p w:rsidR="001418A2" w:rsidRPr="00D42340" w:rsidRDefault="001418A2" w:rsidP="001418A2">
      <w:pPr>
        <w:rPr>
          <w:b/>
        </w:rPr>
      </w:pPr>
    </w:p>
    <w:p w:rsidR="001D19DD" w:rsidRPr="001D19DD" w:rsidRDefault="001D19DD" w:rsidP="001D19DD">
      <w:pPr>
        <w:pStyle w:val="SectionHeadingLevel1"/>
        <w:rPr>
          <w:bCs/>
          <w:lang w:val="en-US"/>
        </w:rPr>
      </w:pPr>
      <w:r>
        <w:t xml:space="preserve">5. </w:t>
      </w:r>
      <w:r w:rsidRPr="001D19DD">
        <w:rPr>
          <w:bCs/>
          <w:lang w:val="en-US"/>
        </w:rPr>
        <w:t>Theoretical investigation</w:t>
      </w:r>
    </w:p>
    <w:p w:rsidR="001D19DD" w:rsidRPr="001D19DD" w:rsidRDefault="001D19DD" w:rsidP="001D19DD">
      <w:pPr>
        <w:pStyle w:val="MTDisplayEquation"/>
        <w:spacing w:line="240" w:lineRule="auto"/>
        <w:rPr>
          <w:rFonts w:ascii="Arial" w:eastAsia="Calibri" w:hAnsi="Arial"/>
          <w:sz w:val="22"/>
          <w:szCs w:val="20"/>
          <w:lang w:eastAsia="en-AU"/>
        </w:rPr>
      </w:pPr>
      <w:r w:rsidRPr="001D19DD">
        <w:rPr>
          <w:rFonts w:ascii="Arial" w:eastAsia="Calibri" w:hAnsi="Arial"/>
          <w:sz w:val="22"/>
          <w:szCs w:val="20"/>
          <w:lang w:eastAsia="en-AU"/>
        </w:rPr>
        <w:t xml:space="preserve">The coefficient of determination (R2) is a measurement number that could indicate how well data fit a statistical model, which formula is (Glantz and Slinker, 1990): </w:t>
      </w:r>
    </w:p>
    <w:p w:rsidR="001D19DD" w:rsidRPr="001C25C4" w:rsidRDefault="001D19DD" w:rsidP="001D19DD">
      <w:pPr>
        <w:pStyle w:val="MTDisplayEquation"/>
        <w:spacing w:line="240" w:lineRule="auto"/>
      </w:pPr>
      <w:r w:rsidRPr="001C25C4">
        <w:lastRenderedPageBreak/>
        <w:tab/>
      </w:r>
      <w:r w:rsidRPr="001D19DD">
        <w:rPr>
          <w:rFonts w:ascii="Arial" w:hAnsi="Arial" w:cs="Arial"/>
          <w:position w:val="-50"/>
          <w:sz w:val="22"/>
          <w:szCs w:val="22"/>
        </w:rPr>
        <w:object w:dxaOrig="4900" w:dyaOrig="1180">
          <v:shape id="_x0000_i1040" type="#_x0000_t75" style="width:244.5pt;height:58.5pt" o:ole="">
            <v:imagedata r:id="rId44" o:title=""/>
          </v:shape>
          <o:OLEObject Type="Embed" ProgID="Equation.DSMT4" ShapeID="_x0000_i1040" DrawAspect="Content" ObjectID="_1494401983" r:id="rId45"/>
        </w:object>
      </w:r>
      <w:r w:rsidRPr="001C25C4">
        <w:t xml:space="preserve"> </w:t>
      </w:r>
      <w:r w:rsidRPr="001C25C4">
        <w:tab/>
      </w:r>
      <w:r w:rsidRPr="001D19DD">
        <w:rPr>
          <w:rFonts w:ascii="Arial" w:hAnsi="Arial" w:cs="Arial"/>
          <w:sz w:val="22"/>
          <w:szCs w:val="22"/>
        </w:rPr>
        <w:fldChar w:fldCharType="begin"/>
      </w:r>
      <w:r w:rsidRPr="001D19DD">
        <w:rPr>
          <w:rFonts w:ascii="Arial" w:hAnsi="Arial" w:cs="Arial"/>
          <w:sz w:val="22"/>
          <w:szCs w:val="22"/>
        </w:rPr>
        <w:instrText xml:space="preserve"> MACROBUTTON MTPlaceRef \* MERGEFORMAT </w:instrText>
      </w:r>
      <w:r w:rsidRPr="001D19DD">
        <w:rPr>
          <w:rFonts w:ascii="Arial" w:hAnsi="Arial" w:cs="Arial"/>
          <w:sz w:val="22"/>
          <w:szCs w:val="22"/>
        </w:rPr>
        <w:fldChar w:fldCharType="begin"/>
      </w:r>
      <w:r w:rsidRPr="001D19DD">
        <w:rPr>
          <w:rFonts w:ascii="Arial" w:hAnsi="Arial" w:cs="Arial"/>
          <w:sz w:val="22"/>
          <w:szCs w:val="22"/>
        </w:rPr>
        <w:instrText xml:space="preserve"> SEQ MTEqn \h \* MERGEFORMAT </w:instrText>
      </w:r>
      <w:r w:rsidRPr="001D19DD">
        <w:rPr>
          <w:rFonts w:ascii="Arial" w:hAnsi="Arial" w:cs="Arial"/>
          <w:sz w:val="22"/>
          <w:szCs w:val="22"/>
        </w:rPr>
        <w:fldChar w:fldCharType="end"/>
      </w:r>
      <w:r w:rsidRPr="001D19DD">
        <w:rPr>
          <w:rFonts w:ascii="Arial" w:hAnsi="Arial" w:cs="Arial"/>
          <w:sz w:val="22"/>
          <w:szCs w:val="22"/>
        </w:rPr>
        <w:instrText>(</w:instrText>
      </w:r>
      <w:r w:rsidRPr="001D19DD">
        <w:rPr>
          <w:rFonts w:ascii="Arial" w:hAnsi="Arial" w:cs="Arial"/>
          <w:sz w:val="22"/>
          <w:szCs w:val="22"/>
        </w:rPr>
        <w:fldChar w:fldCharType="begin"/>
      </w:r>
      <w:r w:rsidRPr="001D19DD">
        <w:rPr>
          <w:rFonts w:ascii="Arial" w:hAnsi="Arial" w:cs="Arial"/>
          <w:sz w:val="22"/>
          <w:szCs w:val="22"/>
        </w:rPr>
        <w:instrText xml:space="preserve"> SEQ MTEqn \c \* Arabic \* MERGEFORMAT </w:instrText>
      </w:r>
      <w:r w:rsidRPr="001D19DD">
        <w:rPr>
          <w:rFonts w:ascii="Arial" w:hAnsi="Arial" w:cs="Arial"/>
          <w:sz w:val="22"/>
          <w:szCs w:val="22"/>
        </w:rPr>
        <w:fldChar w:fldCharType="separate"/>
      </w:r>
      <w:r w:rsidRPr="001D19DD">
        <w:rPr>
          <w:rFonts w:ascii="Arial" w:hAnsi="Arial" w:cs="Arial"/>
          <w:noProof/>
          <w:sz w:val="22"/>
          <w:szCs w:val="22"/>
        </w:rPr>
        <w:instrText>5</w:instrText>
      </w:r>
      <w:r w:rsidRPr="001D19DD">
        <w:rPr>
          <w:rFonts w:ascii="Arial" w:hAnsi="Arial" w:cs="Arial"/>
          <w:noProof/>
          <w:sz w:val="22"/>
          <w:szCs w:val="22"/>
        </w:rPr>
        <w:fldChar w:fldCharType="end"/>
      </w:r>
      <w:r w:rsidRPr="001D19DD">
        <w:rPr>
          <w:rFonts w:ascii="Arial" w:hAnsi="Arial" w:cs="Arial"/>
          <w:sz w:val="22"/>
          <w:szCs w:val="22"/>
        </w:rPr>
        <w:instrText>)</w:instrText>
      </w:r>
      <w:r w:rsidRPr="001D19DD">
        <w:rPr>
          <w:rFonts w:ascii="Arial" w:hAnsi="Arial" w:cs="Arial"/>
          <w:sz w:val="22"/>
          <w:szCs w:val="22"/>
        </w:rPr>
        <w:fldChar w:fldCharType="end"/>
      </w:r>
    </w:p>
    <w:p w:rsidR="001D19DD" w:rsidRDefault="001D19DD" w:rsidP="001D19DD">
      <w:pPr>
        <w:pStyle w:val="SectionHeadingLevel2"/>
        <w:rPr>
          <w:bCs/>
          <w:iCs/>
        </w:rPr>
      </w:pPr>
      <w:r>
        <w:t>4.1</w:t>
      </w:r>
      <w:r w:rsidRPr="001D19DD">
        <w:rPr>
          <w:rFonts w:ascii="Times New Roman" w:eastAsia="SimSun" w:hAnsi="Times New Roman" w:cs="Arial"/>
          <w:b w:val="0"/>
          <w:bCs/>
          <w:iCs/>
          <w:lang w:eastAsia="en-US"/>
        </w:rPr>
        <w:t xml:space="preserve"> </w:t>
      </w:r>
      <w:r w:rsidRPr="001D19DD">
        <w:rPr>
          <w:bCs/>
          <w:iCs/>
        </w:rPr>
        <w:t xml:space="preserve">Linear two-parameter speed-density models </w:t>
      </w:r>
    </w:p>
    <w:p w:rsidR="001D19DD" w:rsidRPr="003315E5" w:rsidRDefault="001D19DD" w:rsidP="001D19DD">
      <w:pPr>
        <w:rPr>
          <w:rFonts w:cs="Arial"/>
        </w:rPr>
      </w:pPr>
      <w:r w:rsidRPr="001D19DD">
        <w:rPr>
          <w:bCs/>
        </w:rPr>
        <w:t xml:space="preserve">The three nonlinear two-parameter speed-density models can be linearized as shown in Table </w:t>
      </w:r>
      <w:r w:rsidRPr="003315E5">
        <w:rPr>
          <w:rFonts w:cs="Arial"/>
        </w:rPr>
        <w:t xml:space="preserve">5 (See appendix A). The </w:t>
      </w:r>
      <w:r w:rsidRPr="003315E5">
        <w:rPr>
          <w:rFonts w:cs="Arial"/>
          <w:lang w:eastAsia="zh-CN"/>
        </w:rPr>
        <w:t>parameter</w:t>
      </w:r>
      <w:r w:rsidRPr="003315E5">
        <w:rPr>
          <w:rFonts w:cs="Arial"/>
        </w:rPr>
        <w:t xml:space="preserve"> </w:t>
      </w:r>
      <w:r w:rsidRPr="003315E5">
        <w:rPr>
          <w:rFonts w:cs="Arial"/>
          <w:i/>
        </w:rPr>
        <w:t>k</w:t>
      </w:r>
      <w:r w:rsidRPr="003315E5">
        <w:rPr>
          <w:rFonts w:cs="Arial"/>
        </w:rPr>
        <w:t xml:space="preserve"> and </w:t>
      </w:r>
      <w:r w:rsidRPr="003315E5">
        <w:rPr>
          <w:rFonts w:cs="Arial"/>
          <w:i/>
        </w:rPr>
        <w:t>v</w:t>
      </w:r>
      <w:r w:rsidRPr="003315E5">
        <w:rPr>
          <w:rFonts w:cs="Arial"/>
        </w:rPr>
        <w:t xml:space="preserve"> </w:t>
      </w:r>
      <w:r w:rsidRPr="003315E5">
        <w:rPr>
          <w:rFonts w:cs="Arial"/>
          <w:lang w:eastAsia="zh-CN"/>
        </w:rPr>
        <w:t>has</w:t>
      </w:r>
      <w:r w:rsidRPr="003315E5">
        <w:rPr>
          <w:rFonts w:cs="Arial"/>
        </w:rPr>
        <w:t xml:space="preserve"> been transformed as</w:t>
      </w:r>
      <w:r w:rsidRPr="003315E5">
        <w:rPr>
          <w:rFonts w:cs="Arial"/>
          <w:position w:val="-6"/>
        </w:rPr>
        <w:object w:dxaOrig="420" w:dyaOrig="279">
          <v:shape id="_x0000_i1041" type="#_x0000_t75" style="width:21pt;height:13.5pt" o:ole="">
            <v:imagedata r:id="rId46" o:title=""/>
          </v:shape>
          <o:OLEObject Type="Embed" ProgID="Equation.DSMT4" ShapeID="_x0000_i1041" DrawAspect="Content" ObjectID="_1494401984" r:id="rId47"/>
        </w:object>
      </w:r>
      <w:r w:rsidRPr="003315E5">
        <w:rPr>
          <w:rFonts w:cs="Arial"/>
        </w:rPr>
        <w:t xml:space="preserve">, </w:t>
      </w:r>
      <w:r w:rsidRPr="003315E5">
        <w:rPr>
          <w:rFonts w:cs="Arial"/>
          <w:position w:val="-6"/>
        </w:rPr>
        <w:object w:dxaOrig="400" w:dyaOrig="279">
          <v:shape id="_x0000_i1042" type="#_x0000_t75" style="width:20.25pt;height:13.5pt" o:ole="">
            <v:imagedata r:id="rId48" o:title=""/>
          </v:shape>
          <o:OLEObject Type="Embed" ProgID="Equation.DSMT4" ShapeID="_x0000_i1042" DrawAspect="Content" ObjectID="_1494401985" r:id="rId49"/>
        </w:object>
      </w:r>
      <w:r w:rsidRPr="003315E5">
        <w:rPr>
          <w:rFonts w:cs="Arial"/>
        </w:rPr>
        <w:t>and</w:t>
      </w:r>
      <w:r w:rsidRPr="003315E5">
        <w:rPr>
          <w:rFonts w:cs="Arial"/>
          <w:position w:val="-6"/>
        </w:rPr>
        <w:object w:dxaOrig="279" w:dyaOrig="320">
          <v:shape id="_x0000_i1043" type="#_x0000_t75" style="width:14.25pt;height:15.75pt" o:ole="">
            <v:imagedata r:id="rId50" o:title=""/>
          </v:shape>
          <o:OLEObject Type="Embed" ProgID="Equation.DSMT4" ShapeID="_x0000_i1043" DrawAspect="Content" ObjectID="_1494401986" r:id="rId51"/>
        </w:object>
      </w:r>
      <w:r w:rsidRPr="003315E5">
        <w:rPr>
          <w:rFonts w:cs="Arial"/>
        </w:rPr>
        <w:t xml:space="preserve"> during the linearization. The transformed density and speed are denoted as </w:t>
      </w:r>
      <w:r w:rsidRPr="003315E5">
        <w:rPr>
          <w:rFonts w:cs="Arial"/>
          <w:position w:val="-6"/>
        </w:rPr>
        <w:object w:dxaOrig="240" w:dyaOrig="320">
          <v:shape id="_x0000_i1044" type="#_x0000_t75" style="width:12pt;height:16.5pt" o:ole="">
            <v:imagedata r:id="rId52" o:title=""/>
          </v:shape>
          <o:OLEObject Type="Embed" ProgID="Equation.DSMT4" ShapeID="_x0000_i1044" DrawAspect="Content" ObjectID="_1494401987" r:id="rId53"/>
        </w:object>
      </w:r>
      <w:r w:rsidRPr="003315E5">
        <w:rPr>
          <w:rFonts w:cs="Arial"/>
        </w:rPr>
        <w:t xml:space="preserve"> and </w:t>
      </w:r>
      <w:r w:rsidRPr="003315E5">
        <w:rPr>
          <w:rFonts w:cs="Arial"/>
          <w:position w:val="-6"/>
        </w:rPr>
        <w:object w:dxaOrig="200" w:dyaOrig="340">
          <v:shape id="_x0000_i1045" type="#_x0000_t75" style="width:9.75pt;height:17.25pt" o:ole="">
            <v:imagedata r:id="rId54" o:title=""/>
          </v:shape>
          <o:OLEObject Type="Embed" ProgID="Equation.DSMT4" ShapeID="_x0000_i1045" DrawAspect="Content" ObjectID="_1494401988" r:id="rId55"/>
        </w:object>
      </w:r>
      <w:r w:rsidRPr="003315E5">
        <w:rPr>
          <w:rFonts w:cs="Arial"/>
        </w:rPr>
        <w:t>.</w:t>
      </w:r>
    </w:p>
    <w:p w:rsidR="001D19DD" w:rsidRPr="001C25C4" w:rsidRDefault="001D19DD" w:rsidP="001D19DD">
      <w:pPr>
        <w:rPr>
          <w:b/>
          <w:noProof/>
          <w:lang w:eastAsia="zh-CN"/>
        </w:rPr>
      </w:pPr>
      <w:r w:rsidRPr="001C25C4">
        <w:rPr>
          <w:b/>
        </w:rPr>
        <w:t xml:space="preserve">Table </w:t>
      </w:r>
      <w:r>
        <w:rPr>
          <w:b/>
        </w:rPr>
        <w:t>5:</w:t>
      </w:r>
      <w:r w:rsidRPr="001C25C4">
        <w:rPr>
          <w:b/>
        </w:rPr>
        <w:t xml:space="preserve"> </w:t>
      </w:r>
      <w:r w:rsidRPr="001C25C4">
        <w:t>Linear Function of two-parameter speed-density models</w:t>
      </w:r>
    </w:p>
    <w:tbl>
      <w:tblPr>
        <w:tblW w:w="0" w:type="auto"/>
        <w:tblBorders>
          <w:top w:val="single" w:sz="8" w:space="0" w:color="auto"/>
          <w:bottom w:val="single" w:sz="8" w:space="0" w:color="auto"/>
        </w:tblBorders>
        <w:tblLook w:val="04A0" w:firstRow="1" w:lastRow="0" w:firstColumn="1" w:lastColumn="0" w:noHBand="0" w:noVBand="1"/>
      </w:tblPr>
      <w:tblGrid>
        <w:gridCol w:w="2919"/>
        <w:gridCol w:w="3396"/>
        <w:gridCol w:w="2907"/>
      </w:tblGrid>
      <w:tr w:rsidR="001D19DD" w:rsidRPr="001C25C4" w:rsidTr="009E1089">
        <w:trPr>
          <w:trHeight w:val="367"/>
        </w:trPr>
        <w:tc>
          <w:tcPr>
            <w:tcW w:w="2919" w:type="dxa"/>
            <w:tcBorders>
              <w:top w:val="single" w:sz="12" w:space="0" w:color="auto"/>
              <w:bottom w:val="single" w:sz="4" w:space="0" w:color="auto"/>
            </w:tcBorders>
            <w:vAlign w:val="center"/>
          </w:tcPr>
          <w:p w:rsidR="001D19DD" w:rsidRPr="001C25C4" w:rsidRDefault="001D19DD" w:rsidP="001D19DD">
            <w:r w:rsidRPr="001C25C4">
              <w:t>Single-regime models</w:t>
            </w:r>
          </w:p>
        </w:tc>
        <w:tc>
          <w:tcPr>
            <w:tcW w:w="3396" w:type="dxa"/>
            <w:tcBorders>
              <w:top w:val="single" w:sz="12" w:space="0" w:color="auto"/>
              <w:bottom w:val="single" w:sz="4" w:space="0" w:color="auto"/>
            </w:tcBorders>
            <w:vAlign w:val="center"/>
          </w:tcPr>
          <w:p w:rsidR="001D19DD" w:rsidRPr="001C25C4" w:rsidRDefault="001D19DD" w:rsidP="001D19DD">
            <w:pPr>
              <w:jc w:val="center"/>
            </w:pPr>
            <w:r w:rsidRPr="001C25C4">
              <w:t>Function</w:t>
            </w:r>
          </w:p>
        </w:tc>
        <w:tc>
          <w:tcPr>
            <w:tcW w:w="2907" w:type="dxa"/>
            <w:tcBorders>
              <w:top w:val="single" w:sz="12" w:space="0" w:color="auto"/>
              <w:bottom w:val="single" w:sz="8" w:space="0" w:color="auto"/>
            </w:tcBorders>
            <w:vAlign w:val="center"/>
          </w:tcPr>
          <w:p w:rsidR="001D19DD" w:rsidRPr="001C25C4" w:rsidRDefault="001D19DD" w:rsidP="001D19DD">
            <w:pPr>
              <w:jc w:val="center"/>
            </w:pPr>
            <w:r w:rsidRPr="001C25C4">
              <w:t>Linear Function</w:t>
            </w:r>
          </w:p>
        </w:tc>
      </w:tr>
      <w:tr w:rsidR="001D19DD" w:rsidRPr="001C25C4" w:rsidTr="009E1089">
        <w:trPr>
          <w:trHeight w:val="703"/>
        </w:trPr>
        <w:tc>
          <w:tcPr>
            <w:tcW w:w="2919" w:type="dxa"/>
            <w:vAlign w:val="center"/>
          </w:tcPr>
          <w:p w:rsidR="001D19DD" w:rsidRPr="001C25C4" w:rsidRDefault="001D19DD" w:rsidP="001D19DD">
            <w:r w:rsidRPr="001C25C4">
              <w:t>Greenberg (1959)</w:t>
            </w:r>
          </w:p>
        </w:tc>
        <w:tc>
          <w:tcPr>
            <w:tcW w:w="3396" w:type="dxa"/>
            <w:vAlign w:val="center"/>
          </w:tcPr>
          <w:p w:rsidR="001D19DD" w:rsidRPr="001C25C4" w:rsidRDefault="001D19DD" w:rsidP="001D19DD">
            <w:pPr>
              <w:jc w:val="center"/>
            </w:pPr>
            <w:r w:rsidRPr="001C25C4">
              <w:rPr>
                <w:position w:val="-32"/>
              </w:rPr>
              <w:object w:dxaOrig="1440" w:dyaOrig="760">
                <v:shape id="_x0000_i1046" type="#_x0000_t75" style="width:1in;height:38.25pt" o:ole="">
                  <v:imagedata r:id="rId11" o:title=""/>
                </v:shape>
                <o:OLEObject Type="Embed" ProgID="Equation.DSMT4" ShapeID="_x0000_i1046" DrawAspect="Content" ObjectID="_1494401989" r:id="rId56"/>
              </w:object>
            </w:r>
          </w:p>
        </w:tc>
        <w:tc>
          <w:tcPr>
            <w:tcW w:w="2907" w:type="dxa"/>
            <w:vAlign w:val="center"/>
          </w:tcPr>
          <w:p w:rsidR="001D19DD" w:rsidRDefault="001D19DD" w:rsidP="001D19DD">
            <w:pPr>
              <w:jc w:val="center"/>
            </w:pPr>
            <w:r w:rsidRPr="001C25C4">
              <w:rPr>
                <w:position w:val="-14"/>
              </w:rPr>
              <w:object w:dxaOrig="1980" w:dyaOrig="380">
                <v:shape id="_x0000_i1047" type="#_x0000_t75" style="width:99pt;height:18.75pt" o:ole="">
                  <v:imagedata r:id="rId57" o:title=""/>
                </v:shape>
                <o:OLEObject Type="Embed" ProgID="Equation.DSMT4" ShapeID="_x0000_i1047" DrawAspect="Content" ObjectID="_1494401990" r:id="rId58"/>
              </w:object>
            </w:r>
          </w:p>
          <w:p w:rsidR="001D19DD" w:rsidRPr="001C25C4" w:rsidRDefault="001D19DD" w:rsidP="001D19DD">
            <w:pPr>
              <w:jc w:val="center"/>
              <w:rPr>
                <w:lang w:eastAsia="zh-CN"/>
              </w:rPr>
            </w:pPr>
            <w:r w:rsidRPr="003F16E4">
              <w:rPr>
                <w:position w:val="-14"/>
              </w:rPr>
              <w:object w:dxaOrig="1380" w:dyaOrig="420">
                <v:shape id="_x0000_i1048" type="#_x0000_t75" style="width:69pt;height:21pt" o:ole="">
                  <v:imagedata r:id="rId59" o:title=""/>
                </v:shape>
                <o:OLEObject Type="Embed" ProgID="Equation.DSMT4" ShapeID="_x0000_i1048" DrawAspect="Content" ObjectID="_1494401991" r:id="rId60"/>
              </w:object>
            </w:r>
          </w:p>
        </w:tc>
      </w:tr>
      <w:tr w:rsidR="001D19DD" w:rsidRPr="001C25C4" w:rsidTr="009E1089">
        <w:trPr>
          <w:trHeight w:val="703"/>
        </w:trPr>
        <w:tc>
          <w:tcPr>
            <w:tcW w:w="2919" w:type="dxa"/>
            <w:vAlign w:val="center"/>
          </w:tcPr>
          <w:p w:rsidR="001D19DD" w:rsidRPr="001C25C4" w:rsidRDefault="001D19DD" w:rsidP="001D19DD">
            <w:r w:rsidRPr="001C25C4">
              <w:t>Underwood (1961)</w:t>
            </w:r>
          </w:p>
        </w:tc>
        <w:tc>
          <w:tcPr>
            <w:tcW w:w="3396" w:type="dxa"/>
            <w:vAlign w:val="center"/>
          </w:tcPr>
          <w:p w:rsidR="001D19DD" w:rsidRPr="001C25C4" w:rsidRDefault="001D19DD" w:rsidP="001D19DD">
            <w:pPr>
              <w:jc w:val="center"/>
            </w:pPr>
            <w:r w:rsidRPr="001C25C4">
              <w:rPr>
                <w:position w:val="-34"/>
              </w:rPr>
              <w:object w:dxaOrig="1760" w:dyaOrig="800">
                <v:shape id="_x0000_i1049" type="#_x0000_t75" style="width:88.5pt;height:40.5pt" o:ole="">
                  <v:imagedata r:id="rId13" o:title=""/>
                </v:shape>
                <o:OLEObject Type="Embed" ProgID="Equation.DSMT4" ShapeID="_x0000_i1049" DrawAspect="Content" ObjectID="_1494401992" r:id="rId61"/>
              </w:object>
            </w:r>
          </w:p>
        </w:tc>
        <w:tc>
          <w:tcPr>
            <w:tcW w:w="2907" w:type="dxa"/>
            <w:vAlign w:val="center"/>
          </w:tcPr>
          <w:p w:rsidR="001D19DD" w:rsidRDefault="001D19DD" w:rsidP="001D19DD">
            <w:pPr>
              <w:jc w:val="center"/>
            </w:pPr>
            <w:r w:rsidRPr="001C25C4">
              <w:rPr>
                <w:position w:val="-32"/>
              </w:rPr>
              <w:object w:dxaOrig="1600" w:dyaOrig="700">
                <v:shape id="_x0000_i1050" type="#_x0000_t75" style="width:80.25pt;height:35.25pt" o:ole="">
                  <v:imagedata r:id="rId62" o:title=""/>
                </v:shape>
                <o:OLEObject Type="Embed" ProgID="Equation.DSMT4" ShapeID="_x0000_i1050" DrawAspect="Content" ObjectID="_1494401993" r:id="rId63"/>
              </w:object>
            </w:r>
          </w:p>
          <w:p w:rsidR="001D19DD" w:rsidRPr="001C25C4" w:rsidRDefault="001D19DD" w:rsidP="001D19DD">
            <w:pPr>
              <w:jc w:val="center"/>
            </w:pPr>
            <w:r w:rsidRPr="003F16E4">
              <w:rPr>
                <w:position w:val="-12"/>
              </w:rPr>
              <w:object w:dxaOrig="1340" w:dyaOrig="400">
                <v:shape id="_x0000_i1051" type="#_x0000_t75" style="width:66.75pt;height:20.25pt" o:ole="">
                  <v:imagedata r:id="rId64" o:title=""/>
                </v:shape>
                <o:OLEObject Type="Embed" ProgID="Equation.DSMT4" ShapeID="_x0000_i1051" DrawAspect="Content" ObjectID="_1494401994" r:id="rId65"/>
              </w:object>
            </w:r>
          </w:p>
        </w:tc>
      </w:tr>
      <w:tr w:rsidR="001D19DD" w:rsidRPr="001C25C4" w:rsidTr="009E1089">
        <w:trPr>
          <w:trHeight w:val="724"/>
        </w:trPr>
        <w:tc>
          <w:tcPr>
            <w:tcW w:w="2919" w:type="dxa"/>
            <w:vAlign w:val="center"/>
          </w:tcPr>
          <w:p w:rsidR="001D19DD" w:rsidRPr="001C25C4" w:rsidRDefault="001D19DD" w:rsidP="001D19DD">
            <w:r w:rsidRPr="001C25C4">
              <w:t>Northwestern (1967)</w:t>
            </w:r>
          </w:p>
        </w:tc>
        <w:tc>
          <w:tcPr>
            <w:tcW w:w="3396" w:type="dxa"/>
            <w:vAlign w:val="center"/>
          </w:tcPr>
          <w:p w:rsidR="001D19DD" w:rsidRPr="001C25C4" w:rsidRDefault="001D19DD" w:rsidP="001D19DD">
            <w:pPr>
              <w:jc w:val="center"/>
            </w:pPr>
            <w:r w:rsidRPr="001C25C4">
              <w:rPr>
                <w:position w:val="-38"/>
              </w:rPr>
              <w:object w:dxaOrig="2280" w:dyaOrig="880">
                <v:shape id="_x0000_i1052" type="#_x0000_t75" style="width:114pt;height:43.5pt" o:ole="">
                  <v:imagedata r:id="rId15" o:title=""/>
                </v:shape>
                <o:OLEObject Type="Embed" ProgID="Equation.DSMT4" ShapeID="_x0000_i1052" DrawAspect="Content" ObjectID="_1494401995" r:id="rId66"/>
              </w:object>
            </w:r>
          </w:p>
        </w:tc>
        <w:tc>
          <w:tcPr>
            <w:tcW w:w="2907" w:type="dxa"/>
            <w:vAlign w:val="center"/>
          </w:tcPr>
          <w:p w:rsidR="001D19DD" w:rsidRDefault="001D19DD" w:rsidP="001D19DD">
            <w:pPr>
              <w:jc w:val="center"/>
            </w:pPr>
            <w:r w:rsidRPr="001C25C4">
              <w:rPr>
                <w:position w:val="-30"/>
              </w:rPr>
              <w:object w:dxaOrig="1960" w:dyaOrig="680">
                <v:shape id="_x0000_i1053" type="#_x0000_t75" style="width:98.25pt;height:33.75pt" o:ole="">
                  <v:imagedata r:id="rId67" o:title=""/>
                </v:shape>
                <o:OLEObject Type="Embed" ProgID="Equation.DSMT4" ShapeID="_x0000_i1053" DrawAspect="Content" ObjectID="_1494401996" r:id="rId68"/>
              </w:object>
            </w:r>
          </w:p>
          <w:p w:rsidR="001D19DD" w:rsidRPr="001C25C4" w:rsidRDefault="001D19DD" w:rsidP="001D19DD">
            <w:pPr>
              <w:jc w:val="center"/>
            </w:pPr>
            <w:r w:rsidRPr="003F16E4">
              <w:rPr>
                <w:position w:val="-12"/>
              </w:rPr>
              <w:object w:dxaOrig="1340" w:dyaOrig="400">
                <v:shape id="_x0000_i1054" type="#_x0000_t75" style="width:66.75pt;height:20.25pt" o:ole="">
                  <v:imagedata r:id="rId69" o:title=""/>
                </v:shape>
                <o:OLEObject Type="Embed" ProgID="Equation.DSMT4" ShapeID="_x0000_i1054" DrawAspect="Content" ObjectID="_1494401997" r:id="rId70"/>
              </w:object>
            </w:r>
          </w:p>
        </w:tc>
      </w:tr>
    </w:tbl>
    <w:p w:rsidR="001D19DD" w:rsidRPr="001C25C4" w:rsidRDefault="001D19DD" w:rsidP="001D19DD">
      <w:pPr>
        <w:rPr>
          <w:noProof/>
          <w:lang w:eastAsia="zh-CN"/>
        </w:rPr>
      </w:pPr>
    </w:p>
    <w:p w:rsidR="001D19DD" w:rsidRPr="001C25C4" w:rsidRDefault="001D19DD" w:rsidP="001D19DD">
      <w:pPr>
        <w:rPr>
          <w:noProof/>
          <w:lang w:eastAsia="zh-CN"/>
        </w:rPr>
      </w:pPr>
      <w:r>
        <w:rPr>
          <w:lang w:eastAsia="zh-CN"/>
        </w:rPr>
        <w:t xml:space="preserve">Figure 5 depicts the comparisons between the results calibrated by observational data and experimental data. </w:t>
      </w:r>
      <w:r w:rsidRPr="001C25C4">
        <w:rPr>
          <w:lang w:eastAsia="zh-CN"/>
        </w:rPr>
        <w:t>The red dots are original</w:t>
      </w:r>
      <w:r>
        <w:rPr>
          <w:lang w:eastAsia="zh-CN"/>
        </w:rPr>
        <w:t xml:space="preserve"> observational</w:t>
      </w:r>
      <w:r w:rsidRPr="001C25C4">
        <w:rPr>
          <w:lang w:eastAsia="zh-CN"/>
        </w:rPr>
        <w:t xml:space="preserve"> data; the blue line represen</w:t>
      </w:r>
      <w:r>
        <w:rPr>
          <w:lang w:eastAsia="zh-CN"/>
        </w:rPr>
        <w:t xml:space="preserve">ts the model calibrated by LSM based on the </w:t>
      </w:r>
      <w:r w:rsidRPr="006F71DE">
        <w:rPr>
          <w:lang w:eastAsia="zh-CN"/>
        </w:rPr>
        <w:t>observational data</w:t>
      </w:r>
      <w:r>
        <w:rPr>
          <w:lang w:eastAsia="zh-CN"/>
        </w:rPr>
        <w:t xml:space="preserve">; and </w:t>
      </w:r>
      <w:r w:rsidRPr="001C25C4">
        <w:rPr>
          <w:lang w:eastAsia="zh-CN"/>
        </w:rPr>
        <w:t>the yellow line represents the model calibrated</w:t>
      </w:r>
      <w:r>
        <w:rPr>
          <w:lang w:eastAsia="zh-CN"/>
        </w:rPr>
        <w:t xml:space="preserve"> based on the generated experimental data</w:t>
      </w:r>
      <w:r w:rsidRPr="001C25C4">
        <w:rPr>
          <w:lang w:eastAsia="zh-CN"/>
        </w:rPr>
        <w:t>.</w:t>
      </w:r>
    </w:p>
    <w:p w:rsidR="001D19DD" w:rsidRPr="001C25C4" w:rsidRDefault="001D19DD" w:rsidP="001D19DD">
      <w:pPr>
        <w:jc w:val="left"/>
        <w:rPr>
          <w:lang w:eastAsia="zh-CN"/>
        </w:rPr>
      </w:pPr>
      <w:r w:rsidRPr="001C25C4">
        <w:rPr>
          <w:b/>
          <w:lang w:eastAsia="zh-CN"/>
        </w:rPr>
        <w:t xml:space="preserve">Figure </w:t>
      </w:r>
      <w:r>
        <w:rPr>
          <w:b/>
          <w:lang w:eastAsia="zh-CN"/>
        </w:rPr>
        <w:t>5 (a)</w:t>
      </w:r>
      <w:r w:rsidR="00063E77">
        <w:rPr>
          <w:b/>
          <w:lang w:eastAsia="zh-CN"/>
        </w:rPr>
        <w:t>:</w:t>
      </w:r>
      <w:r w:rsidRPr="001C25C4">
        <w:rPr>
          <w:b/>
          <w:lang w:eastAsia="zh-CN"/>
        </w:rPr>
        <w:t xml:space="preserve"> </w:t>
      </w:r>
      <w:r w:rsidRPr="001C25C4">
        <w:rPr>
          <w:lang w:eastAsia="zh-CN"/>
        </w:rPr>
        <w:t>P</w:t>
      </w:r>
      <w:r>
        <w:rPr>
          <w:lang w:eastAsia="zh-CN"/>
        </w:rPr>
        <w:t xml:space="preserve">erformance of Greenberg Model   </w:t>
      </w:r>
      <w:r w:rsidRPr="001C25C4">
        <w:rPr>
          <w:b/>
          <w:lang w:eastAsia="zh-CN"/>
        </w:rPr>
        <w:t>(b)</w:t>
      </w:r>
      <w:r w:rsidR="00063E77">
        <w:rPr>
          <w:b/>
          <w:lang w:eastAsia="zh-CN"/>
        </w:rPr>
        <w:t>:</w:t>
      </w:r>
      <w:r w:rsidRPr="001C25C4">
        <w:rPr>
          <w:lang w:eastAsia="zh-CN"/>
        </w:rPr>
        <w:t xml:space="preserve"> Performance of Underwood Model</w:t>
      </w:r>
      <w:r>
        <w:rPr>
          <w:noProof/>
          <w:lang w:eastAsia="zh-CN"/>
        </w:rPr>
        <w:drawing>
          <wp:inline distT="0" distB="0" distL="0" distR="0" wp14:anchorId="0E4E2006" wp14:editId="662F3635">
            <wp:extent cx="2833975" cy="2384755"/>
            <wp:effectExtent l="0" t="0" r="5080" b="0"/>
            <wp:docPr id="7" name="Picture 7" descr="C:\Users\s2809557\Desktop\theses\week2\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2809557\Desktop\theses\week2\g2.jpg"/>
                    <pic:cNvPicPr>
                      <a:picLocks noChangeAspect="1" noChangeArrowheads="1"/>
                    </pic:cNvPicPr>
                  </pic:nvPicPr>
                  <pic:blipFill rotWithShape="1">
                    <a:blip r:embed="rId71">
                      <a:extLst>
                        <a:ext uri="{28A0092B-C50C-407E-A947-70E740481C1C}">
                          <a14:useLocalDpi xmlns:a14="http://schemas.microsoft.com/office/drawing/2010/main" val="0"/>
                        </a:ext>
                      </a:extLst>
                    </a:blip>
                    <a:srcRect l="3978" r="6859"/>
                    <a:stretch/>
                  </pic:blipFill>
                  <pic:spPr bwMode="auto">
                    <a:xfrm>
                      <a:off x="0" y="0"/>
                      <a:ext cx="2840773" cy="2390476"/>
                    </a:xfrm>
                    <a:prstGeom prst="rect">
                      <a:avLst/>
                    </a:prstGeom>
                    <a:noFill/>
                    <a:ln>
                      <a:noFill/>
                    </a:ln>
                    <a:extLst>
                      <a:ext uri="{53640926-AAD7-44D8-BBD7-CCE9431645EC}">
                        <a14:shadowObscured xmlns:a14="http://schemas.microsoft.com/office/drawing/2010/main"/>
                      </a:ext>
                    </a:extLst>
                  </pic:spPr>
                </pic:pic>
              </a:graphicData>
            </a:graphic>
          </wp:inline>
        </w:drawing>
      </w:r>
      <w:r w:rsidRPr="001C25C4">
        <w:rPr>
          <w:lang w:eastAsia="zh-CN"/>
        </w:rPr>
        <w:t xml:space="preserve"> </w:t>
      </w:r>
      <w:r>
        <w:rPr>
          <w:noProof/>
          <w:lang w:eastAsia="zh-CN"/>
        </w:rPr>
        <w:drawing>
          <wp:inline distT="0" distB="0" distL="0" distR="0" wp14:anchorId="7CF69322" wp14:editId="1A777F8E">
            <wp:extent cx="2816295" cy="2343881"/>
            <wp:effectExtent l="0" t="0" r="3175" b="0"/>
            <wp:docPr id="24" name="Picture 24" descr="C:\Users\s2809557\Desktop\theses\week2\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s2809557\Desktop\theses\week2\u2.jpg"/>
                    <pic:cNvPicPr>
                      <a:picLocks noChangeAspect="1" noChangeArrowheads="1"/>
                    </pic:cNvPicPr>
                  </pic:nvPicPr>
                  <pic:blipFill rotWithShape="1">
                    <a:blip r:embed="rId72">
                      <a:extLst>
                        <a:ext uri="{28A0092B-C50C-407E-A947-70E740481C1C}">
                          <a14:useLocalDpi xmlns:a14="http://schemas.microsoft.com/office/drawing/2010/main" val="0"/>
                        </a:ext>
                      </a:extLst>
                    </a:blip>
                    <a:srcRect l="4528" t="1097" r="6309"/>
                    <a:stretch/>
                  </pic:blipFill>
                  <pic:spPr bwMode="auto">
                    <a:xfrm>
                      <a:off x="0" y="0"/>
                      <a:ext cx="2816267" cy="2343858"/>
                    </a:xfrm>
                    <a:prstGeom prst="rect">
                      <a:avLst/>
                    </a:prstGeom>
                    <a:noFill/>
                    <a:ln>
                      <a:noFill/>
                    </a:ln>
                    <a:extLst>
                      <a:ext uri="{53640926-AAD7-44D8-BBD7-CCE9431645EC}">
                        <a14:shadowObscured xmlns:a14="http://schemas.microsoft.com/office/drawing/2010/main"/>
                      </a:ext>
                    </a:extLst>
                  </pic:spPr>
                </pic:pic>
              </a:graphicData>
            </a:graphic>
          </wp:inline>
        </w:drawing>
      </w:r>
    </w:p>
    <w:p w:rsidR="001D19DD" w:rsidRPr="001C25C4" w:rsidRDefault="001D19DD" w:rsidP="001D19DD">
      <w:pPr>
        <w:jc w:val="center"/>
        <w:rPr>
          <w:lang w:eastAsia="zh-CN"/>
        </w:rPr>
      </w:pPr>
    </w:p>
    <w:p w:rsidR="001D19DD" w:rsidRDefault="001D19DD" w:rsidP="001D19DD">
      <w:pPr>
        <w:jc w:val="left"/>
        <w:rPr>
          <w:b/>
          <w:lang w:eastAsia="zh-CN"/>
        </w:rPr>
      </w:pPr>
    </w:p>
    <w:p w:rsidR="001D19DD" w:rsidRDefault="001D19DD" w:rsidP="001D19DD">
      <w:pPr>
        <w:jc w:val="left"/>
        <w:rPr>
          <w:lang w:eastAsia="zh-CN"/>
        </w:rPr>
      </w:pPr>
      <w:r w:rsidRPr="001C25C4">
        <w:rPr>
          <w:b/>
          <w:lang w:eastAsia="zh-CN"/>
        </w:rPr>
        <w:lastRenderedPageBreak/>
        <w:t xml:space="preserve">Figure </w:t>
      </w:r>
      <w:r>
        <w:rPr>
          <w:b/>
          <w:lang w:eastAsia="zh-CN"/>
        </w:rPr>
        <w:t>5</w:t>
      </w:r>
      <w:r w:rsidRPr="001C25C4">
        <w:rPr>
          <w:b/>
          <w:lang w:eastAsia="zh-CN"/>
        </w:rPr>
        <w:t>(c)</w:t>
      </w:r>
      <w:r w:rsidR="00063E77">
        <w:rPr>
          <w:b/>
          <w:lang w:eastAsia="zh-CN"/>
        </w:rPr>
        <w:t>:</w:t>
      </w:r>
      <w:r w:rsidRPr="001C25C4">
        <w:rPr>
          <w:lang w:eastAsia="zh-CN"/>
        </w:rPr>
        <w:t xml:space="preserve"> Performance of Northwestern Model </w:t>
      </w:r>
    </w:p>
    <w:p w:rsidR="001D19DD" w:rsidRDefault="001D19DD" w:rsidP="001D19DD">
      <w:pPr>
        <w:jc w:val="left"/>
        <w:rPr>
          <w:lang w:eastAsia="zh-CN"/>
        </w:rPr>
      </w:pPr>
      <w:r>
        <w:rPr>
          <w:noProof/>
          <w:lang w:eastAsia="zh-CN"/>
        </w:rPr>
        <w:drawing>
          <wp:inline distT="0" distB="0" distL="0" distR="0" wp14:anchorId="047C85E0" wp14:editId="3828A403">
            <wp:extent cx="2852928" cy="2367830"/>
            <wp:effectExtent l="0" t="0" r="5080" b="0"/>
            <wp:docPr id="25" name="Picture 25" descr="C:\Users\s2809557\Desktop\theses\week2\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s2809557\Desktop\theses\week2\n2.jpg"/>
                    <pic:cNvPicPr>
                      <a:picLocks noChangeAspect="1" noChangeArrowheads="1"/>
                    </pic:cNvPicPr>
                  </pic:nvPicPr>
                  <pic:blipFill rotWithShape="1">
                    <a:blip r:embed="rId73">
                      <a:extLst>
                        <a:ext uri="{28A0092B-C50C-407E-A947-70E740481C1C}">
                          <a14:useLocalDpi xmlns:a14="http://schemas.microsoft.com/office/drawing/2010/main" val="0"/>
                        </a:ext>
                      </a:extLst>
                    </a:blip>
                    <a:srcRect l="3978" t="914" r="6448"/>
                    <a:stretch/>
                  </pic:blipFill>
                  <pic:spPr bwMode="auto">
                    <a:xfrm>
                      <a:off x="0" y="0"/>
                      <a:ext cx="2852900" cy="2367807"/>
                    </a:xfrm>
                    <a:prstGeom prst="rect">
                      <a:avLst/>
                    </a:prstGeom>
                    <a:noFill/>
                    <a:ln>
                      <a:noFill/>
                    </a:ln>
                    <a:extLst>
                      <a:ext uri="{53640926-AAD7-44D8-BBD7-CCE9431645EC}">
                        <a14:shadowObscured xmlns:a14="http://schemas.microsoft.com/office/drawing/2010/main"/>
                      </a:ext>
                    </a:extLst>
                  </pic:spPr>
                </pic:pic>
              </a:graphicData>
            </a:graphic>
          </wp:inline>
        </w:drawing>
      </w:r>
    </w:p>
    <w:p w:rsidR="001D19DD" w:rsidRPr="001D19DD" w:rsidRDefault="001D19DD" w:rsidP="001D19DD">
      <w:pPr>
        <w:pStyle w:val="SectionHeadingLevel2"/>
        <w:rPr>
          <w:bCs/>
          <w:iCs/>
        </w:rPr>
      </w:pPr>
      <w:r>
        <w:t xml:space="preserve">4.2 </w:t>
      </w:r>
      <w:r w:rsidRPr="001D19DD">
        <w:rPr>
          <w:bCs/>
          <w:iCs/>
        </w:rPr>
        <w:t xml:space="preserve">Results of </w:t>
      </w:r>
      <w:r w:rsidRPr="001D19DD">
        <w:rPr>
          <w:bCs/>
          <w:i/>
          <w:iCs/>
        </w:rPr>
        <w:t>R</w:t>
      </w:r>
      <w:r w:rsidRPr="001D19DD">
        <w:rPr>
          <w:bCs/>
          <w:i/>
          <w:iCs/>
          <w:vertAlign w:val="superscript"/>
        </w:rPr>
        <w:t>2</w:t>
      </w:r>
      <w:r w:rsidRPr="001D19DD">
        <w:rPr>
          <w:bCs/>
          <w:iCs/>
        </w:rPr>
        <w:t xml:space="preserve"> of two-parameter speed-density models </w:t>
      </w:r>
    </w:p>
    <w:p w:rsidR="001D19DD" w:rsidRPr="001D19DD" w:rsidRDefault="001D19DD" w:rsidP="001D19DD">
      <w:r w:rsidRPr="001D19DD">
        <w:t xml:space="preserve">As proven by Qu et al. (2015), the sample selection bias does not affect linear relationship. In other words, the performance of these models calibrated based on the observational data is determined by the coefficient of determination of the transformed parameters. In this regard, we </w:t>
      </w:r>
      <w:r w:rsidRPr="001D19DD">
        <w:rPr>
          <w:lang w:val="en-US"/>
        </w:rPr>
        <w:t xml:space="preserve">calculate the </w:t>
      </w:r>
      <w:r w:rsidRPr="001D19DD">
        <w:t>the coefficient of determination (</w:t>
      </w:r>
      <w:r w:rsidRPr="001D19DD">
        <w:rPr>
          <w:i/>
        </w:rPr>
        <w:t>R</w:t>
      </w:r>
      <w:r w:rsidRPr="001D19DD">
        <w:rPr>
          <w:i/>
          <w:vertAlign w:val="superscript"/>
        </w:rPr>
        <w:t>2</w:t>
      </w:r>
      <w:r w:rsidRPr="001D19DD">
        <w:t>), and the results are shown in Table 6.</w:t>
      </w:r>
    </w:p>
    <w:p w:rsidR="001D19DD" w:rsidRPr="001D19DD" w:rsidRDefault="001D19DD" w:rsidP="001D19DD">
      <w:pPr>
        <w:rPr>
          <w:b/>
        </w:rPr>
      </w:pPr>
      <w:r w:rsidRPr="001D19DD">
        <w:rPr>
          <w:b/>
        </w:rPr>
        <w:t>Table 6</w:t>
      </w:r>
      <w:r w:rsidR="00063E77">
        <w:rPr>
          <w:b/>
        </w:rPr>
        <w:t>:</w:t>
      </w:r>
      <w:r w:rsidRPr="001D19DD">
        <w:rPr>
          <w:b/>
        </w:rPr>
        <w:t xml:space="preserve"> </w:t>
      </w:r>
      <w:r w:rsidRPr="001D19DD">
        <w:rPr>
          <w:i/>
        </w:rPr>
        <w:t>R</w:t>
      </w:r>
      <w:r w:rsidRPr="001D19DD">
        <w:rPr>
          <w:i/>
          <w:vertAlign w:val="superscript"/>
        </w:rPr>
        <w:t>2</w:t>
      </w:r>
      <w:r w:rsidRPr="001D19DD">
        <w:t xml:space="preserve"> of two-parameter speed-density models</w:t>
      </w:r>
      <w:r w:rsidRPr="001D19DD">
        <w:rPr>
          <w:b/>
        </w:rPr>
        <w:tab/>
        <w:t xml:space="preserve"> </w:t>
      </w:r>
    </w:p>
    <w:tbl>
      <w:tblPr>
        <w:tblW w:w="0" w:type="auto"/>
        <w:tblBorders>
          <w:top w:val="single" w:sz="8" w:space="0" w:color="auto"/>
          <w:bottom w:val="single" w:sz="8" w:space="0" w:color="auto"/>
        </w:tblBorders>
        <w:tblLook w:val="04A0" w:firstRow="1" w:lastRow="0" w:firstColumn="1" w:lastColumn="0" w:noHBand="0" w:noVBand="1"/>
      </w:tblPr>
      <w:tblGrid>
        <w:gridCol w:w="2273"/>
        <w:gridCol w:w="2229"/>
        <w:gridCol w:w="4740"/>
      </w:tblGrid>
      <w:tr w:rsidR="001D19DD" w:rsidRPr="001D19DD" w:rsidTr="009E1089">
        <w:trPr>
          <w:trHeight w:val="367"/>
        </w:trPr>
        <w:tc>
          <w:tcPr>
            <w:tcW w:w="2273" w:type="dxa"/>
            <w:tcBorders>
              <w:top w:val="single" w:sz="12" w:space="0" w:color="auto"/>
              <w:bottom w:val="single" w:sz="4" w:space="0" w:color="auto"/>
            </w:tcBorders>
            <w:vAlign w:val="center"/>
          </w:tcPr>
          <w:p w:rsidR="001D19DD" w:rsidRPr="001D19DD" w:rsidRDefault="001D19DD" w:rsidP="001D19DD">
            <w:r w:rsidRPr="001D19DD">
              <w:t>Single-regime models</w:t>
            </w:r>
          </w:p>
        </w:tc>
        <w:tc>
          <w:tcPr>
            <w:tcW w:w="2229" w:type="dxa"/>
            <w:tcBorders>
              <w:top w:val="single" w:sz="12" w:space="0" w:color="auto"/>
              <w:bottom w:val="single" w:sz="4" w:space="0" w:color="auto"/>
            </w:tcBorders>
            <w:vAlign w:val="center"/>
          </w:tcPr>
          <w:p w:rsidR="001D19DD" w:rsidRPr="001D19DD" w:rsidRDefault="001D19DD" w:rsidP="001D19DD">
            <w:pPr>
              <w:jc w:val="center"/>
              <w:rPr>
                <w:vertAlign w:val="superscript"/>
              </w:rPr>
            </w:pPr>
            <w:r w:rsidRPr="001D19DD">
              <w:t>R</w:t>
            </w:r>
            <w:r w:rsidRPr="001D19DD">
              <w:rPr>
                <w:vertAlign w:val="superscript"/>
              </w:rPr>
              <w:t>2</w:t>
            </w:r>
          </w:p>
        </w:tc>
        <w:tc>
          <w:tcPr>
            <w:tcW w:w="4740" w:type="dxa"/>
            <w:tcBorders>
              <w:top w:val="single" w:sz="12" w:space="0" w:color="auto"/>
              <w:bottom w:val="single" w:sz="8" w:space="0" w:color="auto"/>
            </w:tcBorders>
            <w:vAlign w:val="center"/>
          </w:tcPr>
          <w:p w:rsidR="001D19DD" w:rsidRPr="001D19DD" w:rsidRDefault="001D19DD" w:rsidP="001D19DD">
            <w:pPr>
              <w:jc w:val="center"/>
            </w:pPr>
            <w:r w:rsidRPr="001D19DD">
              <w:t>Average of the five ranges of largest MSE</w:t>
            </w:r>
          </w:p>
        </w:tc>
      </w:tr>
      <w:tr w:rsidR="001D19DD" w:rsidRPr="001D19DD" w:rsidTr="009E1089">
        <w:trPr>
          <w:trHeight w:val="703"/>
        </w:trPr>
        <w:tc>
          <w:tcPr>
            <w:tcW w:w="2273" w:type="dxa"/>
            <w:vAlign w:val="center"/>
          </w:tcPr>
          <w:p w:rsidR="001D19DD" w:rsidRPr="001D19DD" w:rsidRDefault="001D19DD" w:rsidP="001D19DD">
            <w:r w:rsidRPr="001D19DD">
              <w:t>Greenberg (1959)</w:t>
            </w:r>
          </w:p>
        </w:tc>
        <w:tc>
          <w:tcPr>
            <w:tcW w:w="2229" w:type="dxa"/>
            <w:vAlign w:val="center"/>
          </w:tcPr>
          <w:p w:rsidR="001D19DD" w:rsidRPr="001D19DD" w:rsidRDefault="001D19DD" w:rsidP="001D19DD">
            <w:pPr>
              <w:jc w:val="center"/>
            </w:pPr>
            <w:r w:rsidRPr="001D19DD">
              <w:t>0.6864</w:t>
            </w:r>
          </w:p>
        </w:tc>
        <w:tc>
          <w:tcPr>
            <w:tcW w:w="4740" w:type="dxa"/>
            <w:vAlign w:val="center"/>
          </w:tcPr>
          <w:p w:rsidR="001D19DD" w:rsidRPr="001D19DD" w:rsidRDefault="001D19DD" w:rsidP="001D19DD">
            <w:pPr>
              <w:jc w:val="center"/>
              <w:rPr>
                <w:lang w:val="en-US"/>
              </w:rPr>
            </w:pPr>
            <w:r w:rsidRPr="001D19DD">
              <w:rPr>
                <w:lang w:val="en-US"/>
              </w:rPr>
              <w:t>176.7</w:t>
            </w:r>
          </w:p>
        </w:tc>
      </w:tr>
      <w:tr w:rsidR="001D19DD" w:rsidRPr="001D19DD" w:rsidTr="009E1089">
        <w:trPr>
          <w:trHeight w:val="703"/>
        </w:trPr>
        <w:tc>
          <w:tcPr>
            <w:tcW w:w="2273" w:type="dxa"/>
            <w:vAlign w:val="center"/>
          </w:tcPr>
          <w:p w:rsidR="001D19DD" w:rsidRPr="001D19DD" w:rsidRDefault="001D19DD" w:rsidP="001D19DD">
            <w:r w:rsidRPr="001D19DD">
              <w:t>Underwood (1961)</w:t>
            </w:r>
          </w:p>
        </w:tc>
        <w:tc>
          <w:tcPr>
            <w:tcW w:w="2229" w:type="dxa"/>
            <w:vAlign w:val="center"/>
          </w:tcPr>
          <w:p w:rsidR="001D19DD" w:rsidRPr="001D19DD" w:rsidRDefault="001D19DD" w:rsidP="001D19DD">
            <w:pPr>
              <w:jc w:val="center"/>
            </w:pPr>
            <w:r w:rsidRPr="001D19DD">
              <w:rPr>
                <w:lang w:val="en-US"/>
              </w:rPr>
              <w:t>0.9020</w:t>
            </w:r>
          </w:p>
        </w:tc>
        <w:tc>
          <w:tcPr>
            <w:tcW w:w="4740" w:type="dxa"/>
            <w:vAlign w:val="center"/>
          </w:tcPr>
          <w:p w:rsidR="001D19DD" w:rsidRPr="001D19DD" w:rsidRDefault="001D19DD" w:rsidP="001D19DD">
            <w:pPr>
              <w:jc w:val="center"/>
              <w:rPr>
                <w:lang w:val="en-US"/>
              </w:rPr>
            </w:pPr>
            <w:r w:rsidRPr="001D19DD">
              <w:rPr>
                <w:lang w:val="en-US"/>
              </w:rPr>
              <w:t>102.3</w:t>
            </w:r>
          </w:p>
        </w:tc>
      </w:tr>
      <w:tr w:rsidR="001D19DD" w:rsidRPr="001D19DD" w:rsidTr="009E1089">
        <w:trPr>
          <w:trHeight w:val="724"/>
        </w:trPr>
        <w:tc>
          <w:tcPr>
            <w:tcW w:w="2273" w:type="dxa"/>
            <w:vAlign w:val="center"/>
          </w:tcPr>
          <w:p w:rsidR="001D19DD" w:rsidRPr="001D19DD" w:rsidRDefault="001D19DD" w:rsidP="001D19DD">
            <w:r w:rsidRPr="001D19DD">
              <w:t>Northwestern (1967)</w:t>
            </w:r>
          </w:p>
        </w:tc>
        <w:tc>
          <w:tcPr>
            <w:tcW w:w="2229" w:type="dxa"/>
            <w:vAlign w:val="center"/>
          </w:tcPr>
          <w:p w:rsidR="001D19DD" w:rsidRPr="001D19DD" w:rsidRDefault="001D19DD" w:rsidP="001D19DD">
            <w:pPr>
              <w:jc w:val="center"/>
            </w:pPr>
            <w:r w:rsidRPr="001D19DD">
              <w:t>0.8176</w:t>
            </w:r>
          </w:p>
        </w:tc>
        <w:tc>
          <w:tcPr>
            <w:tcW w:w="4740" w:type="dxa"/>
            <w:vAlign w:val="center"/>
          </w:tcPr>
          <w:p w:rsidR="001D19DD" w:rsidRPr="001D19DD" w:rsidRDefault="001D19DD" w:rsidP="001D19DD">
            <w:pPr>
              <w:jc w:val="center"/>
              <w:rPr>
                <w:lang w:val="en-US"/>
              </w:rPr>
            </w:pPr>
            <w:r w:rsidRPr="001D19DD">
              <w:rPr>
                <w:lang w:val="en-US"/>
              </w:rPr>
              <w:t>120.3</w:t>
            </w:r>
          </w:p>
        </w:tc>
      </w:tr>
    </w:tbl>
    <w:p w:rsidR="001D19DD" w:rsidRPr="001D19DD" w:rsidRDefault="001D19DD" w:rsidP="001D19DD">
      <w:pPr>
        <w:rPr>
          <w:lang w:val="en-US"/>
        </w:rPr>
      </w:pPr>
    </w:p>
    <w:p w:rsidR="001D19DD" w:rsidRDefault="001D19DD" w:rsidP="001D19DD">
      <w:r w:rsidRPr="001D19DD">
        <w:t xml:space="preserve">Evidently, the coefficient of determination of the sample and the performance of the calibrated function has a negative relationship. In other words, if the relationship between the transformed density and speed is linear or generally linear, the performances of these calibrated models are not significantly affected by sample selection bias. This is the reason why Greenberg model perform well based on the generated experimental data and poorly based on the observational data. </w:t>
      </w:r>
    </w:p>
    <w:p w:rsidR="001418A2" w:rsidRDefault="001418A2" w:rsidP="001418A2">
      <w:pPr>
        <w:pStyle w:val="SectionHeadingLevel1"/>
      </w:pPr>
      <w:r>
        <w:t>5</w:t>
      </w:r>
      <w:r w:rsidR="001D19DD">
        <w:t>. Conclusion</w:t>
      </w:r>
    </w:p>
    <w:p w:rsidR="001D19DD" w:rsidRDefault="001D19DD" w:rsidP="001D19DD">
      <w:pPr>
        <w:rPr>
          <w:lang w:eastAsia="en-US"/>
        </w:rPr>
      </w:pPr>
      <w:r w:rsidRPr="001D19DD">
        <w:rPr>
          <w:lang w:eastAsia="en-US"/>
        </w:rPr>
        <w:t xml:space="preserve">This research is an extension of Qu et al. (2015), in which paper the authors point out that the inaccuracy of single regime speed-density models is not caused solely by their functional forms, but also by sample selection bias. In this research, we theoretically investigate how the functional forms of different models cope with the sample selection bias. A novel sampling approach is used to select uniform observational data (which would have the same characteristics with experimental data). With the selected uniform data, we can analyse the impact of functional forms themselves by eliminating the sample selection bias. As most speed – density models are derived from their corresponding car following models, we can use the aggregated macroscopic speed density data to evaluate the performance of </w:t>
      </w:r>
      <w:r w:rsidRPr="001D19DD">
        <w:rPr>
          <w:lang w:eastAsia="en-US"/>
        </w:rPr>
        <w:lastRenderedPageBreak/>
        <w:t xml:space="preserve">microscopic car following models. In this way, we can establish the connection between macroscopic and microscopic traffic flow models. </w:t>
      </w:r>
    </w:p>
    <w:p w:rsidR="0015095E" w:rsidRDefault="0015095E" w:rsidP="001D19DD">
      <w:pPr>
        <w:rPr>
          <w:lang w:eastAsia="en-US"/>
        </w:rPr>
      </w:pPr>
    </w:p>
    <w:p w:rsidR="0015095E" w:rsidRPr="0015095E" w:rsidRDefault="0015095E" w:rsidP="0015095E">
      <w:pPr>
        <w:rPr>
          <w:b/>
          <w:lang w:eastAsia="en-US"/>
        </w:rPr>
      </w:pPr>
      <w:r w:rsidRPr="0015095E">
        <w:rPr>
          <w:b/>
          <w:lang w:eastAsia="en-US"/>
        </w:rPr>
        <w:t>References</w:t>
      </w:r>
    </w:p>
    <w:p w:rsidR="0015095E" w:rsidRDefault="0015095E" w:rsidP="0015095E">
      <w:pPr>
        <w:rPr>
          <w:lang w:eastAsia="en-US"/>
        </w:rPr>
      </w:pPr>
      <w:r>
        <w:rPr>
          <w:lang w:eastAsia="en-US"/>
        </w:rPr>
        <w:t>Del Castillo, J M and Benítez, F G (1995a) On the functional form of the speed-density relationship – I: General theory Transportation Research Part B 29 (5), 373–389</w:t>
      </w:r>
    </w:p>
    <w:p w:rsidR="0015095E" w:rsidRDefault="0015095E" w:rsidP="0015095E">
      <w:pPr>
        <w:rPr>
          <w:lang w:eastAsia="en-US"/>
        </w:rPr>
      </w:pPr>
      <w:r>
        <w:rPr>
          <w:lang w:eastAsia="en-US"/>
        </w:rPr>
        <w:t>Del Castillo, J M and Benítez, F G (1995b) On the functional form of the speed-density relationship – II: Empirical investigation Transportation Research Part B 29 (5), 391–406</w:t>
      </w:r>
    </w:p>
    <w:p w:rsidR="0015095E" w:rsidRDefault="0015095E" w:rsidP="0015095E">
      <w:pPr>
        <w:rPr>
          <w:lang w:eastAsia="en-US"/>
        </w:rPr>
      </w:pPr>
      <w:r>
        <w:rPr>
          <w:lang w:eastAsia="en-US"/>
        </w:rPr>
        <w:t>Drake, J S, Schofer, J L and May, A D (1967) A statistical analysis of speed–density hypotheses Highway Research Record 154, 112–117</w:t>
      </w:r>
    </w:p>
    <w:p w:rsidR="0015095E" w:rsidRDefault="0015095E" w:rsidP="0015095E">
      <w:pPr>
        <w:rPr>
          <w:lang w:eastAsia="en-US"/>
        </w:rPr>
      </w:pPr>
      <w:r>
        <w:rPr>
          <w:lang w:eastAsia="en-US"/>
        </w:rPr>
        <w:t>Edie, L C (1961) Car-Following and Steady State Theory for Non-Congested Traffic Operations Research 9 (1), 66-76</w:t>
      </w:r>
    </w:p>
    <w:p w:rsidR="0015095E" w:rsidRDefault="0015095E" w:rsidP="0015095E">
      <w:pPr>
        <w:rPr>
          <w:lang w:eastAsia="en-US"/>
        </w:rPr>
      </w:pPr>
      <w:r>
        <w:rPr>
          <w:lang w:eastAsia="en-US"/>
        </w:rPr>
        <w:t>Greenshields, B D, Bibbins, J R, Channing, W S and Miller, H H (1935) A STUDY OF TRAFFIC CAPACITY Highway Research Board Proceedings 14, 448–477</w:t>
      </w:r>
    </w:p>
    <w:p w:rsidR="0015095E" w:rsidRDefault="0015095E" w:rsidP="0015095E">
      <w:pPr>
        <w:rPr>
          <w:lang w:eastAsia="en-US"/>
        </w:rPr>
      </w:pPr>
      <w:r>
        <w:rPr>
          <w:lang w:eastAsia="en-US"/>
        </w:rPr>
        <w:t>Greenberg, H (1959) An Analysis of Traffic Flow Operations Research 7, 255-275</w:t>
      </w:r>
    </w:p>
    <w:p w:rsidR="0015095E" w:rsidRDefault="0015095E" w:rsidP="0015095E">
      <w:pPr>
        <w:rPr>
          <w:lang w:eastAsia="en-US"/>
        </w:rPr>
      </w:pPr>
      <w:r>
        <w:rPr>
          <w:lang w:eastAsia="en-US"/>
        </w:rPr>
        <w:t>Lehmann, E L and George, C (1998) Theory of Point Estimation (2nd ed.) New York: Springer</w:t>
      </w:r>
    </w:p>
    <w:p w:rsidR="0015095E" w:rsidRDefault="0015095E" w:rsidP="0015095E">
      <w:pPr>
        <w:rPr>
          <w:lang w:eastAsia="en-US"/>
        </w:rPr>
      </w:pPr>
      <w:r>
        <w:rPr>
          <w:lang w:eastAsia="en-US"/>
        </w:rPr>
        <w:t>MacNicholas, M J (2008) A simple and pragmatic representation of traffic flow In: Symposium on The Fundamental Diagram: 75 years, Transportation Introduction Research Board, Woods Hole, MA</w:t>
      </w:r>
    </w:p>
    <w:p w:rsidR="0015095E" w:rsidRDefault="0015095E" w:rsidP="0015095E">
      <w:pPr>
        <w:rPr>
          <w:lang w:eastAsia="en-US"/>
        </w:rPr>
      </w:pPr>
      <w:r>
        <w:rPr>
          <w:lang w:eastAsia="en-US"/>
        </w:rPr>
        <w:t>Newell, G F (1961) Nonlinear Effects in the Dynamics of Car Following Operations Research 9 (2), 209-229</w:t>
      </w:r>
    </w:p>
    <w:p w:rsidR="0015095E" w:rsidRDefault="0015095E" w:rsidP="0015095E">
      <w:pPr>
        <w:rPr>
          <w:lang w:eastAsia="en-US"/>
        </w:rPr>
      </w:pPr>
      <w:r>
        <w:rPr>
          <w:lang w:eastAsia="en-US"/>
        </w:rPr>
        <w:t xml:space="preserve">Underwood, R T (1961) Speed, volume, and density relationship: quality and theory of traffic flow Yale Bureau of Highway Traffic, 141–188 </w:t>
      </w:r>
    </w:p>
    <w:p w:rsidR="0015095E" w:rsidRDefault="0015095E" w:rsidP="0015095E">
      <w:pPr>
        <w:rPr>
          <w:lang w:eastAsia="en-US"/>
        </w:rPr>
      </w:pPr>
      <w:r>
        <w:rPr>
          <w:lang w:eastAsia="en-US"/>
        </w:rPr>
        <w:t>Qu, X, Wang, S and Zhang, J (2015) On the fundamental diagram for freeway traffic: A novel calibration approach for single-regime models. Transportation Research Part B 73 (2015), 91-102</w:t>
      </w:r>
    </w:p>
    <w:p w:rsidR="0015095E" w:rsidRDefault="0015095E" w:rsidP="0015095E">
      <w:pPr>
        <w:rPr>
          <w:lang w:eastAsia="en-US"/>
        </w:rPr>
      </w:pPr>
      <w:r>
        <w:rPr>
          <w:lang w:eastAsia="en-US"/>
        </w:rPr>
        <w:t>Wang, H, Li, H, Chen, Q and Ni, D (2011) Logistic modeling of the equilibrium speed–density relationship Transportation Research Part A 45 (2011), 554-566</w:t>
      </w:r>
    </w:p>
    <w:p w:rsidR="0015095E" w:rsidRDefault="0015095E" w:rsidP="0015095E">
      <w:pPr>
        <w:rPr>
          <w:lang w:eastAsia="en-US"/>
        </w:rPr>
      </w:pPr>
      <w:r>
        <w:rPr>
          <w:lang w:eastAsia="en-US"/>
        </w:rPr>
        <w:t>Zhang, H, M and Kim, T (2005) A car-following theory for multiphase vehicular traffic flow. Transportation Research Part B 39 (2005), 385-399</w:t>
      </w:r>
    </w:p>
    <w:p w:rsidR="0015095E" w:rsidRDefault="0015095E" w:rsidP="0015095E">
      <w:pPr>
        <w:rPr>
          <w:lang w:eastAsia="en-US"/>
        </w:rPr>
      </w:pPr>
    </w:p>
    <w:p w:rsidR="0015095E" w:rsidRPr="001D19DD" w:rsidRDefault="0015095E" w:rsidP="001D19DD">
      <w:pPr>
        <w:rPr>
          <w:lang w:eastAsia="en-US"/>
        </w:rPr>
      </w:pPr>
    </w:p>
    <w:p w:rsidR="001418A2" w:rsidRDefault="00456B4E" w:rsidP="001418A2">
      <w:pPr>
        <w:pStyle w:val="SectionHeadingLevel1"/>
      </w:pPr>
      <w:r>
        <w:t>Appendix A</w:t>
      </w:r>
    </w:p>
    <w:p w:rsidR="00456B4E" w:rsidRPr="003315E5" w:rsidRDefault="00456B4E" w:rsidP="00456B4E">
      <w:pPr>
        <w:rPr>
          <w:rFonts w:cs="Arial"/>
          <w:szCs w:val="22"/>
        </w:rPr>
      </w:pPr>
      <w:r w:rsidRPr="003315E5">
        <w:rPr>
          <w:rFonts w:cs="Arial"/>
          <w:szCs w:val="22"/>
        </w:rPr>
        <w:t xml:space="preserve">Linear functions of two-parameter models </w:t>
      </w:r>
    </w:p>
    <w:p w:rsidR="00456B4E" w:rsidRPr="003315E5" w:rsidRDefault="00456B4E" w:rsidP="00456B4E">
      <w:pPr>
        <w:rPr>
          <w:rFonts w:cs="Arial"/>
          <w:szCs w:val="22"/>
          <w:lang w:eastAsia="zh-CN"/>
        </w:rPr>
      </w:pPr>
      <w:r w:rsidRPr="003315E5">
        <w:rPr>
          <w:rFonts w:cs="Arial"/>
          <w:szCs w:val="22"/>
          <w:lang w:eastAsia="zh-CN"/>
        </w:rPr>
        <w:t xml:space="preserve">For Greenberg Model, as its equation is </w:t>
      </w:r>
    </w:p>
    <w:p w:rsidR="00456B4E" w:rsidRPr="003315E5" w:rsidRDefault="00456B4E" w:rsidP="00456B4E">
      <w:pPr>
        <w:pStyle w:val="MTDisplayEquation"/>
        <w:spacing w:line="240" w:lineRule="auto"/>
        <w:rPr>
          <w:rFonts w:ascii="Arial" w:hAnsi="Arial" w:cs="Arial"/>
          <w:sz w:val="22"/>
          <w:szCs w:val="22"/>
        </w:rPr>
      </w:pPr>
      <w:r w:rsidRPr="003315E5">
        <w:rPr>
          <w:rFonts w:ascii="Arial" w:hAnsi="Arial" w:cs="Arial"/>
          <w:sz w:val="22"/>
          <w:szCs w:val="22"/>
        </w:rPr>
        <w:tab/>
      </w:r>
      <w:r w:rsidRPr="003315E5">
        <w:rPr>
          <w:rFonts w:ascii="Arial" w:hAnsi="Arial" w:cs="Arial"/>
          <w:position w:val="-32"/>
          <w:sz w:val="22"/>
          <w:szCs w:val="22"/>
        </w:rPr>
        <w:object w:dxaOrig="1440" w:dyaOrig="760">
          <v:shape id="_x0000_i1055" type="#_x0000_t75" style="width:1in;height:38.25pt" o:ole="">
            <v:imagedata r:id="rId74" o:title=""/>
          </v:shape>
          <o:OLEObject Type="Embed" ProgID="Equation.DSMT4" ShapeID="_x0000_i1055" DrawAspect="Content" ObjectID="_1494401998" r:id="rId75"/>
        </w:object>
      </w:r>
      <w:r w:rsidRPr="003315E5">
        <w:rPr>
          <w:rFonts w:ascii="Arial" w:hAnsi="Arial" w:cs="Arial"/>
          <w:sz w:val="22"/>
          <w:szCs w:val="22"/>
        </w:rPr>
        <w:t xml:space="preserve"> </w:t>
      </w:r>
      <w:r w:rsidRPr="003315E5">
        <w:rPr>
          <w:rFonts w:ascii="Arial" w:hAnsi="Arial" w:cs="Arial"/>
          <w:sz w:val="22"/>
          <w:szCs w:val="22"/>
        </w:rPr>
        <w:tab/>
      </w:r>
      <w:r w:rsidRPr="003315E5">
        <w:rPr>
          <w:rFonts w:ascii="Arial" w:hAnsi="Arial" w:cs="Arial"/>
          <w:sz w:val="22"/>
          <w:szCs w:val="22"/>
        </w:rPr>
        <w:fldChar w:fldCharType="begin"/>
      </w:r>
      <w:r w:rsidRPr="003315E5">
        <w:rPr>
          <w:rFonts w:ascii="Arial" w:hAnsi="Arial" w:cs="Arial"/>
          <w:sz w:val="22"/>
          <w:szCs w:val="22"/>
        </w:rPr>
        <w:instrText xml:space="preserve"> MACROBUTTON MTPlaceRef \* MERGEFORMAT </w:instrText>
      </w:r>
      <w:r w:rsidRPr="003315E5">
        <w:rPr>
          <w:rFonts w:ascii="Arial" w:hAnsi="Arial" w:cs="Arial"/>
          <w:sz w:val="22"/>
          <w:szCs w:val="22"/>
        </w:rPr>
        <w:fldChar w:fldCharType="begin"/>
      </w:r>
      <w:r w:rsidRPr="003315E5">
        <w:rPr>
          <w:rFonts w:ascii="Arial" w:hAnsi="Arial" w:cs="Arial"/>
          <w:sz w:val="22"/>
          <w:szCs w:val="22"/>
        </w:rPr>
        <w:instrText xml:space="preserve"> SEQ MTEqn \h \* MERGEFORMAT </w:instrText>
      </w:r>
      <w:r w:rsidRPr="003315E5">
        <w:rPr>
          <w:rFonts w:ascii="Arial" w:hAnsi="Arial" w:cs="Arial"/>
          <w:sz w:val="22"/>
          <w:szCs w:val="22"/>
        </w:rPr>
        <w:fldChar w:fldCharType="end"/>
      </w:r>
      <w:r w:rsidRPr="003315E5">
        <w:rPr>
          <w:rFonts w:ascii="Arial" w:hAnsi="Arial" w:cs="Arial"/>
          <w:sz w:val="22"/>
          <w:szCs w:val="22"/>
        </w:rPr>
        <w:instrText>(</w:instrText>
      </w:r>
      <w:r w:rsidRPr="003315E5">
        <w:rPr>
          <w:rFonts w:ascii="Arial" w:hAnsi="Arial" w:cs="Arial"/>
          <w:sz w:val="22"/>
          <w:szCs w:val="22"/>
        </w:rPr>
        <w:fldChar w:fldCharType="begin"/>
      </w:r>
      <w:r w:rsidRPr="003315E5">
        <w:rPr>
          <w:rFonts w:ascii="Arial" w:hAnsi="Arial" w:cs="Arial"/>
          <w:sz w:val="22"/>
          <w:szCs w:val="22"/>
        </w:rPr>
        <w:instrText xml:space="preserve"> SEQ MTEqn \c \* Arabic \* MERGEFORMAT </w:instrText>
      </w:r>
      <w:r w:rsidRPr="003315E5">
        <w:rPr>
          <w:rFonts w:ascii="Arial" w:hAnsi="Arial" w:cs="Arial"/>
          <w:sz w:val="22"/>
          <w:szCs w:val="22"/>
        </w:rPr>
        <w:fldChar w:fldCharType="separate"/>
      </w:r>
      <w:r w:rsidRPr="003315E5">
        <w:rPr>
          <w:rFonts w:ascii="Arial" w:hAnsi="Arial" w:cs="Arial"/>
          <w:noProof/>
          <w:sz w:val="22"/>
          <w:szCs w:val="22"/>
        </w:rPr>
        <w:instrText>6</w:instrText>
      </w:r>
      <w:r w:rsidRPr="003315E5">
        <w:rPr>
          <w:rFonts w:ascii="Arial" w:hAnsi="Arial" w:cs="Arial"/>
          <w:noProof/>
          <w:sz w:val="22"/>
          <w:szCs w:val="22"/>
        </w:rPr>
        <w:fldChar w:fldCharType="end"/>
      </w:r>
      <w:r w:rsidRPr="003315E5">
        <w:rPr>
          <w:rFonts w:ascii="Arial" w:hAnsi="Arial" w:cs="Arial"/>
          <w:sz w:val="22"/>
          <w:szCs w:val="22"/>
        </w:rPr>
        <w:instrText>)</w:instrText>
      </w:r>
      <w:r w:rsidRPr="003315E5">
        <w:rPr>
          <w:rFonts w:ascii="Arial" w:hAnsi="Arial" w:cs="Arial"/>
          <w:sz w:val="22"/>
          <w:szCs w:val="22"/>
        </w:rPr>
        <w:fldChar w:fldCharType="end"/>
      </w:r>
    </w:p>
    <w:p w:rsidR="00456B4E" w:rsidRPr="003315E5" w:rsidRDefault="00456B4E" w:rsidP="00456B4E">
      <w:pPr>
        <w:rPr>
          <w:rFonts w:cs="Arial"/>
          <w:szCs w:val="22"/>
        </w:rPr>
      </w:pPr>
      <w:r w:rsidRPr="003315E5">
        <w:rPr>
          <w:rFonts w:cs="Arial"/>
          <w:szCs w:val="22"/>
        </w:rPr>
        <w:t>Linear it by</w:t>
      </w:r>
      <w:r w:rsidRPr="003315E5">
        <w:rPr>
          <w:rFonts w:cs="Arial"/>
          <w:position w:val="-6"/>
          <w:szCs w:val="22"/>
        </w:rPr>
        <w:object w:dxaOrig="999" w:dyaOrig="340">
          <v:shape id="_x0000_i1056" type="#_x0000_t75" style="width:50.25pt;height:16.5pt" o:ole="">
            <v:imagedata r:id="rId76" o:title=""/>
          </v:shape>
          <o:OLEObject Type="Embed" ProgID="Equation.DSMT4" ShapeID="_x0000_i1056" DrawAspect="Content" ObjectID="_1494401999" r:id="rId77"/>
        </w:object>
      </w:r>
      <w:r w:rsidRPr="003315E5">
        <w:rPr>
          <w:rFonts w:cs="Arial"/>
          <w:szCs w:val="22"/>
        </w:rPr>
        <w:t xml:space="preserve"> ,</w:t>
      </w:r>
    </w:p>
    <w:p w:rsidR="00456B4E" w:rsidRPr="003315E5" w:rsidRDefault="00456B4E" w:rsidP="00456B4E">
      <w:pPr>
        <w:pStyle w:val="MTDisplayEquation"/>
        <w:spacing w:line="240" w:lineRule="auto"/>
        <w:rPr>
          <w:rFonts w:ascii="Arial" w:hAnsi="Arial" w:cs="Arial"/>
          <w:sz w:val="22"/>
          <w:szCs w:val="22"/>
        </w:rPr>
      </w:pPr>
      <w:r w:rsidRPr="003315E5">
        <w:rPr>
          <w:rFonts w:ascii="Arial" w:hAnsi="Arial" w:cs="Arial"/>
          <w:sz w:val="22"/>
          <w:szCs w:val="22"/>
        </w:rPr>
        <w:tab/>
      </w:r>
      <w:r w:rsidRPr="003315E5">
        <w:rPr>
          <w:rFonts w:ascii="Arial" w:hAnsi="Arial" w:cs="Arial"/>
          <w:position w:val="-14"/>
          <w:sz w:val="22"/>
          <w:szCs w:val="22"/>
        </w:rPr>
        <w:object w:dxaOrig="1980" w:dyaOrig="380">
          <v:shape id="_x0000_i1057" type="#_x0000_t75" style="width:99pt;height:18.75pt" o:ole="">
            <v:imagedata r:id="rId57" o:title=""/>
          </v:shape>
          <o:OLEObject Type="Embed" ProgID="Equation.DSMT4" ShapeID="_x0000_i1057" DrawAspect="Content" ObjectID="_1494402000" r:id="rId78"/>
        </w:object>
      </w:r>
      <w:r w:rsidRPr="003315E5">
        <w:rPr>
          <w:rFonts w:ascii="Arial" w:hAnsi="Arial" w:cs="Arial"/>
          <w:sz w:val="22"/>
          <w:szCs w:val="22"/>
        </w:rPr>
        <w:t xml:space="preserve"> </w:t>
      </w:r>
      <w:r w:rsidRPr="003315E5">
        <w:rPr>
          <w:rFonts w:ascii="Arial" w:hAnsi="Arial" w:cs="Arial"/>
          <w:sz w:val="22"/>
          <w:szCs w:val="22"/>
        </w:rPr>
        <w:tab/>
      </w:r>
      <w:r w:rsidRPr="003315E5">
        <w:rPr>
          <w:rFonts w:ascii="Arial" w:hAnsi="Arial" w:cs="Arial"/>
          <w:sz w:val="22"/>
          <w:szCs w:val="22"/>
        </w:rPr>
        <w:fldChar w:fldCharType="begin"/>
      </w:r>
      <w:r w:rsidRPr="003315E5">
        <w:rPr>
          <w:rFonts w:ascii="Arial" w:hAnsi="Arial" w:cs="Arial"/>
          <w:sz w:val="22"/>
          <w:szCs w:val="22"/>
        </w:rPr>
        <w:instrText xml:space="preserve"> MACROBUTTON MTPlaceRef \* MERGEFORMAT </w:instrText>
      </w:r>
      <w:r w:rsidRPr="003315E5">
        <w:rPr>
          <w:rFonts w:ascii="Arial" w:hAnsi="Arial" w:cs="Arial"/>
          <w:sz w:val="22"/>
          <w:szCs w:val="22"/>
        </w:rPr>
        <w:fldChar w:fldCharType="begin"/>
      </w:r>
      <w:r w:rsidRPr="003315E5">
        <w:rPr>
          <w:rFonts w:ascii="Arial" w:hAnsi="Arial" w:cs="Arial"/>
          <w:sz w:val="22"/>
          <w:szCs w:val="22"/>
        </w:rPr>
        <w:instrText xml:space="preserve"> SEQ MTEqn \h \* MERGEFORMAT </w:instrText>
      </w:r>
      <w:r w:rsidRPr="003315E5">
        <w:rPr>
          <w:rFonts w:ascii="Arial" w:hAnsi="Arial" w:cs="Arial"/>
          <w:sz w:val="22"/>
          <w:szCs w:val="22"/>
        </w:rPr>
        <w:fldChar w:fldCharType="end"/>
      </w:r>
      <w:r w:rsidRPr="003315E5">
        <w:rPr>
          <w:rFonts w:ascii="Arial" w:hAnsi="Arial" w:cs="Arial"/>
          <w:sz w:val="22"/>
          <w:szCs w:val="22"/>
        </w:rPr>
        <w:instrText>(</w:instrText>
      </w:r>
      <w:r w:rsidRPr="003315E5">
        <w:rPr>
          <w:rFonts w:ascii="Arial" w:hAnsi="Arial" w:cs="Arial"/>
          <w:sz w:val="22"/>
          <w:szCs w:val="22"/>
        </w:rPr>
        <w:fldChar w:fldCharType="begin"/>
      </w:r>
      <w:r w:rsidRPr="003315E5">
        <w:rPr>
          <w:rFonts w:ascii="Arial" w:hAnsi="Arial" w:cs="Arial"/>
          <w:sz w:val="22"/>
          <w:szCs w:val="22"/>
        </w:rPr>
        <w:instrText xml:space="preserve"> SEQ MTEqn \c \* Arabic \* MERGEFORMAT </w:instrText>
      </w:r>
      <w:r w:rsidRPr="003315E5">
        <w:rPr>
          <w:rFonts w:ascii="Arial" w:hAnsi="Arial" w:cs="Arial"/>
          <w:sz w:val="22"/>
          <w:szCs w:val="22"/>
        </w:rPr>
        <w:fldChar w:fldCharType="separate"/>
      </w:r>
      <w:r w:rsidRPr="003315E5">
        <w:rPr>
          <w:rFonts w:ascii="Arial" w:hAnsi="Arial" w:cs="Arial"/>
          <w:noProof/>
          <w:sz w:val="22"/>
          <w:szCs w:val="22"/>
        </w:rPr>
        <w:instrText>7</w:instrText>
      </w:r>
      <w:r w:rsidRPr="003315E5">
        <w:rPr>
          <w:rFonts w:ascii="Arial" w:hAnsi="Arial" w:cs="Arial"/>
          <w:noProof/>
          <w:sz w:val="22"/>
          <w:szCs w:val="22"/>
        </w:rPr>
        <w:fldChar w:fldCharType="end"/>
      </w:r>
      <w:r w:rsidRPr="003315E5">
        <w:rPr>
          <w:rFonts w:ascii="Arial" w:hAnsi="Arial" w:cs="Arial"/>
          <w:sz w:val="22"/>
          <w:szCs w:val="22"/>
        </w:rPr>
        <w:instrText>)</w:instrText>
      </w:r>
      <w:r w:rsidRPr="003315E5">
        <w:rPr>
          <w:rFonts w:ascii="Arial" w:hAnsi="Arial" w:cs="Arial"/>
          <w:sz w:val="22"/>
          <w:szCs w:val="22"/>
        </w:rPr>
        <w:fldChar w:fldCharType="end"/>
      </w:r>
    </w:p>
    <w:p w:rsidR="00456B4E" w:rsidRPr="003315E5" w:rsidRDefault="00456B4E" w:rsidP="00456B4E">
      <w:pPr>
        <w:pStyle w:val="MTDisplayEquation"/>
        <w:spacing w:line="240" w:lineRule="auto"/>
        <w:rPr>
          <w:rFonts w:ascii="Arial" w:hAnsi="Arial" w:cs="Arial"/>
          <w:sz w:val="22"/>
          <w:szCs w:val="22"/>
        </w:rPr>
      </w:pPr>
      <w:r w:rsidRPr="003315E5">
        <w:rPr>
          <w:rFonts w:ascii="Arial" w:hAnsi="Arial" w:cs="Arial"/>
          <w:sz w:val="22"/>
          <w:szCs w:val="22"/>
        </w:rPr>
        <w:lastRenderedPageBreak/>
        <w:tab/>
      </w:r>
      <w:r w:rsidRPr="003315E5">
        <w:rPr>
          <w:rFonts w:ascii="Arial" w:hAnsi="Arial" w:cs="Arial"/>
          <w:position w:val="-54"/>
          <w:sz w:val="22"/>
          <w:szCs w:val="22"/>
        </w:rPr>
        <w:object w:dxaOrig="1260" w:dyaOrig="1200">
          <v:shape id="_x0000_i1058" type="#_x0000_t75" style="width:63.75pt;height:60pt" o:ole="">
            <v:imagedata r:id="rId79" o:title=""/>
          </v:shape>
          <o:OLEObject Type="Embed" ProgID="Equation.DSMT4" ShapeID="_x0000_i1058" DrawAspect="Content" ObjectID="_1494402001" r:id="rId80"/>
        </w:object>
      </w:r>
      <w:r w:rsidRPr="003315E5">
        <w:rPr>
          <w:rFonts w:ascii="Arial" w:hAnsi="Arial" w:cs="Arial"/>
          <w:sz w:val="22"/>
          <w:szCs w:val="22"/>
        </w:rPr>
        <w:t xml:space="preserve"> </w:t>
      </w:r>
      <w:r w:rsidRPr="003315E5">
        <w:rPr>
          <w:rFonts w:ascii="Arial" w:hAnsi="Arial" w:cs="Arial"/>
          <w:sz w:val="22"/>
          <w:szCs w:val="22"/>
        </w:rPr>
        <w:tab/>
      </w:r>
      <w:r w:rsidRPr="003315E5">
        <w:rPr>
          <w:rFonts w:ascii="Arial" w:hAnsi="Arial" w:cs="Arial"/>
          <w:sz w:val="22"/>
          <w:szCs w:val="22"/>
        </w:rPr>
        <w:fldChar w:fldCharType="begin"/>
      </w:r>
      <w:r w:rsidRPr="003315E5">
        <w:rPr>
          <w:rFonts w:ascii="Arial" w:hAnsi="Arial" w:cs="Arial"/>
          <w:sz w:val="22"/>
          <w:szCs w:val="22"/>
        </w:rPr>
        <w:instrText xml:space="preserve"> MACROBUTTON MTPlaceRef \* MERGEFORMAT </w:instrText>
      </w:r>
      <w:r w:rsidRPr="003315E5">
        <w:rPr>
          <w:rFonts w:ascii="Arial" w:hAnsi="Arial" w:cs="Arial"/>
          <w:sz w:val="22"/>
          <w:szCs w:val="22"/>
        </w:rPr>
        <w:fldChar w:fldCharType="begin"/>
      </w:r>
      <w:r w:rsidRPr="003315E5">
        <w:rPr>
          <w:rFonts w:ascii="Arial" w:hAnsi="Arial" w:cs="Arial"/>
          <w:sz w:val="22"/>
          <w:szCs w:val="22"/>
        </w:rPr>
        <w:instrText xml:space="preserve"> SEQ MTEqn \h \* MERGEFORMAT </w:instrText>
      </w:r>
      <w:r w:rsidRPr="003315E5">
        <w:rPr>
          <w:rFonts w:ascii="Arial" w:hAnsi="Arial" w:cs="Arial"/>
          <w:sz w:val="22"/>
          <w:szCs w:val="22"/>
        </w:rPr>
        <w:fldChar w:fldCharType="end"/>
      </w:r>
      <w:r w:rsidRPr="003315E5">
        <w:rPr>
          <w:rFonts w:ascii="Arial" w:hAnsi="Arial" w:cs="Arial"/>
          <w:sz w:val="22"/>
          <w:szCs w:val="22"/>
        </w:rPr>
        <w:instrText>(</w:instrText>
      </w:r>
      <w:r w:rsidRPr="003315E5">
        <w:rPr>
          <w:rFonts w:ascii="Arial" w:hAnsi="Arial" w:cs="Arial"/>
          <w:sz w:val="22"/>
          <w:szCs w:val="22"/>
        </w:rPr>
        <w:fldChar w:fldCharType="begin"/>
      </w:r>
      <w:r w:rsidRPr="003315E5">
        <w:rPr>
          <w:rFonts w:ascii="Arial" w:hAnsi="Arial" w:cs="Arial"/>
          <w:sz w:val="22"/>
          <w:szCs w:val="22"/>
        </w:rPr>
        <w:instrText xml:space="preserve"> SEQ MTEqn \c \* Arabic \* MERGEFORMAT </w:instrText>
      </w:r>
      <w:r w:rsidRPr="003315E5">
        <w:rPr>
          <w:rFonts w:ascii="Arial" w:hAnsi="Arial" w:cs="Arial"/>
          <w:sz w:val="22"/>
          <w:szCs w:val="22"/>
        </w:rPr>
        <w:fldChar w:fldCharType="separate"/>
      </w:r>
      <w:r w:rsidRPr="003315E5">
        <w:rPr>
          <w:rFonts w:ascii="Arial" w:hAnsi="Arial" w:cs="Arial"/>
          <w:noProof/>
          <w:sz w:val="22"/>
          <w:szCs w:val="22"/>
        </w:rPr>
        <w:instrText>8</w:instrText>
      </w:r>
      <w:r w:rsidRPr="003315E5">
        <w:rPr>
          <w:rFonts w:ascii="Arial" w:hAnsi="Arial" w:cs="Arial"/>
          <w:noProof/>
          <w:sz w:val="22"/>
          <w:szCs w:val="22"/>
        </w:rPr>
        <w:fldChar w:fldCharType="end"/>
      </w:r>
      <w:r w:rsidRPr="003315E5">
        <w:rPr>
          <w:rFonts w:ascii="Arial" w:hAnsi="Arial" w:cs="Arial"/>
          <w:sz w:val="22"/>
          <w:szCs w:val="22"/>
        </w:rPr>
        <w:instrText>)</w:instrText>
      </w:r>
      <w:r w:rsidRPr="003315E5">
        <w:rPr>
          <w:rFonts w:ascii="Arial" w:hAnsi="Arial" w:cs="Arial"/>
          <w:sz w:val="22"/>
          <w:szCs w:val="22"/>
        </w:rPr>
        <w:fldChar w:fldCharType="end"/>
      </w:r>
    </w:p>
    <w:p w:rsidR="00456B4E" w:rsidRPr="003315E5" w:rsidRDefault="00456B4E" w:rsidP="00456B4E">
      <w:pPr>
        <w:rPr>
          <w:rFonts w:cs="Arial"/>
          <w:szCs w:val="22"/>
        </w:rPr>
      </w:pPr>
      <w:r w:rsidRPr="003315E5">
        <w:rPr>
          <w:rFonts w:cs="Arial"/>
          <w:szCs w:val="22"/>
        </w:rPr>
        <w:t xml:space="preserve">For the Underwood (1961) model, </w:t>
      </w:r>
    </w:p>
    <w:p w:rsidR="00456B4E" w:rsidRPr="003315E5" w:rsidRDefault="00456B4E" w:rsidP="00456B4E">
      <w:pPr>
        <w:pStyle w:val="MTDisplayEquation"/>
        <w:spacing w:line="240" w:lineRule="auto"/>
        <w:rPr>
          <w:rFonts w:ascii="Arial" w:hAnsi="Arial" w:cs="Arial"/>
          <w:sz w:val="22"/>
          <w:szCs w:val="22"/>
        </w:rPr>
      </w:pPr>
      <w:r w:rsidRPr="003315E5">
        <w:rPr>
          <w:rFonts w:ascii="Arial" w:hAnsi="Arial" w:cs="Arial"/>
          <w:sz w:val="22"/>
          <w:szCs w:val="22"/>
        </w:rPr>
        <w:tab/>
      </w:r>
      <w:r w:rsidRPr="003315E5">
        <w:rPr>
          <w:rFonts w:ascii="Arial" w:hAnsi="Arial" w:cs="Arial"/>
          <w:position w:val="-34"/>
          <w:sz w:val="22"/>
          <w:szCs w:val="22"/>
        </w:rPr>
        <w:object w:dxaOrig="1760" w:dyaOrig="800">
          <v:shape id="_x0000_i1059" type="#_x0000_t75" style="width:88.5pt;height:40.5pt" o:ole="">
            <v:imagedata r:id="rId81" o:title=""/>
          </v:shape>
          <o:OLEObject Type="Embed" ProgID="Equation.DSMT4" ShapeID="_x0000_i1059" DrawAspect="Content" ObjectID="_1494402002" r:id="rId82"/>
        </w:object>
      </w:r>
      <w:r w:rsidRPr="003315E5">
        <w:rPr>
          <w:rFonts w:ascii="Arial" w:hAnsi="Arial" w:cs="Arial"/>
          <w:sz w:val="22"/>
          <w:szCs w:val="22"/>
        </w:rPr>
        <w:t xml:space="preserve"> </w:t>
      </w:r>
      <w:r w:rsidRPr="003315E5">
        <w:rPr>
          <w:rFonts w:ascii="Arial" w:hAnsi="Arial" w:cs="Arial"/>
          <w:sz w:val="22"/>
          <w:szCs w:val="22"/>
        </w:rPr>
        <w:tab/>
      </w:r>
      <w:r w:rsidRPr="003315E5">
        <w:rPr>
          <w:rFonts w:ascii="Arial" w:hAnsi="Arial" w:cs="Arial"/>
          <w:sz w:val="22"/>
          <w:szCs w:val="22"/>
        </w:rPr>
        <w:fldChar w:fldCharType="begin"/>
      </w:r>
      <w:r w:rsidRPr="003315E5">
        <w:rPr>
          <w:rFonts w:ascii="Arial" w:hAnsi="Arial" w:cs="Arial"/>
          <w:sz w:val="22"/>
          <w:szCs w:val="22"/>
        </w:rPr>
        <w:instrText xml:space="preserve"> MACROBUTTON MTPlaceRef \* MERGEFORMAT </w:instrText>
      </w:r>
      <w:r w:rsidRPr="003315E5">
        <w:rPr>
          <w:rFonts w:ascii="Arial" w:hAnsi="Arial" w:cs="Arial"/>
          <w:sz w:val="22"/>
          <w:szCs w:val="22"/>
        </w:rPr>
        <w:fldChar w:fldCharType="begin"/>
      </w:r>
      <w:r w:rsidRPr="003315E5">
        <w:rPr>
          <w:rFonts w:ascii="Arial" w:hAnsi="Arial" w:cs="Arial"/>
          <w:sz w:val="22"/>
          <w:szCs w:val="22"/>
        </w:rPr>
        <w:instrText xml:space="preserve"> SEQ MTEqn \h \* MERGEFORMAT </w:instrText>
      </w:r>
      <w:r w:rsidRPr="003315E5">
        <w:rPr>
          <w:rFonts w:ascii="Arial" w:hAnsi="Arial" w:cs="Arial"/>
          <w:sz w:val="22"/>
          <w:szCs w:val="22"/>
        </w:rPr>
        <w:fldChar w:fldCharType="end"/>
      </w:r>
      <w:r w:rsidRPr="003315E5">
        <w:rPr>
          <w:rFonts w:ascii="Arial" w:hAnsi="Arial" w:cs="Arial"/>
          <w:sz w:val="22"/>
          <w:szCs w:val="22"/>
        </w:rPr>
        <w:instrText>(</w:instrText>
      </w:r>
      <w:r w:rsidRPr="003315E5">
        <w:rPr>
          <w:rFonts w:ascii="Arial" w:hAnsi="Arial" w:cs="Arial"/>
          <w:sz w:val="22"/>
          <w:szCs w:val="22"/>
        </w:rPr>
        <w:fldChar w:fldCharType="begin"/>
      </w:r>
      <w:r w:rsidRPr="003315E5">
        <w:rPr>
          <w:rFonts w:ascii="Arial" w:hAnsi="Arial" w:cs="Arial"/>
          <w:sz w:val="22"/>
          <w:szCs w:val="22"/>
        </w:rPr>
        <w:instrText xml:space="preserve"> SEQ MTEqn \c \* Arabic \* MERGEFORMAT </w:instrText>
      </w:r>
      <w:r w:rsidRPr="003315E5">
        <w:rPr>
          <w:rFonts w:ascii="Arial" w:hAnsi="Arial" w:cs="Arial"/>
          <w:sz w:val="22"/>
          <w:szCs w:val="22"/>
        </w:rPr>
        <w:fldChar w:fldCharType="separate"/>
      </w:r>
      <w:r w:rsidRPr="003315E5">
        <w:rPr>
          <w:rFonts w:ascii="Arial" w:hAnsi="Arial" w:cs="Arial"/>
          <w:noProof/>
          <w:sz w:val="22"/>
          <w:szCs w:val="22"/>
        </w:rPr>
        <w:instrText>9</w:instrText>
      </w:r>
      <w:r w:rsidRPr="003315E5">
        <w:rPr>
          <w:rFonts w:ascii="Arial" w:hAnsi="Arial" w:cs="Arial"/>
          <w:noProof/>
          <w:sz w:val="22"/>
          <w:szCs w:val="22"/>
        </w:rPr>
        <w:fldChar w:fldCharType="end"/>
      </w:r>
      <w:r w:rsidRPr="003315E5">
        <w:rPr>
          <w:rFonts w:ascii="Arial" w:hAnsi="Arial" w:cs="Arial"/>
          <w:sz w:val="22"/>
          <w:szCs w:val="22"/>
        </w:rPr>
        <w:instrText>)</w:instrText>
      </w:r>
      <w:r w:rsidRPr="003315E5">
        <w:rPr>
          <w:rFonts w:ascii="Arial" w:hAnsi="Arial" w:cs="Arial"/>
          <w:sz w:val="22"/>
          <w:szCs w:val="22"/>
        </w:rPr>
        <w:fldChar w:fldCharType="end"/>
      </w:r>
    </w:p>
    <w:p w:rsidR="00456B4E" w:rsidRPr="003315E5" w:rsidRDefault="00456B4E" w:rsidP="00456B4E">
      <w:pPr>
        <w:rPr>
          <w:rFonts w:cs="Arial"/>
          <w:szCs w:val="22"/>
        </w:rPr>
      </w:pPr>
      <w:r w:rsidRPr="003315E5">
        <w:rPr>
          <w:rFonts w:cs="Arial"/>
          <w:szCs w:val="22"/>
        </w:rPr>
        <w:t xml:space="preserve"> Converting it to linear function,</w:t>
      </w:r>
    </w:p>
    <w:p w:rsidR="00456B4E" w:rsidRPr="003315E5" w:rsidRDefault="00456B4E" w:rsidP="00456B4E">
      <w:pPr>
        <w:pStyle w:val="MTDisplayEquation"/>
        <w:spacing w:line="240" w:lineRule="auto"/>
        <w:rPr>
          <w:rFonts w:ascii="Arial" w:hAnsi="Arial" w:cs="Arial"/>
          <w:sz w:val="22"/>
          <w:szCs w:val="22"/>
        </w:rPr>
      </w:pPr>
      <w:r w:rsidRPr="003315E5">
        <w:rPr>
          <w:rFonts w:ascii="Arial" w:hAnsi="Arial" w:cs="Arial"/>
          <w:sz w:val="22"/>
          <w:szCs w:val="22"/>
        </w:rPr>
        <w:tab/>
      </w:r>
      <w:r w:rsidRPr="003315E5">
        <w:rPr>
          <w:rFonts w:ascii="Arial" w:hAnsi="Arial" w:cs="Arial"/>
          <w:position w:val="-36"/>
          <w:sz w:val="22"/>
          <w:szCs w:val="22"/>
        </w:rPr>
        <w:object w:dxaOrig="2439" w:dyaOrig="840">
          <v:shape id="_x0000_i1060" type="#_x0000_t75" style="width:122.25pt;height:42pt" o:ole="">
            <v:imagedata r:id="rId83" o:title=""/>
          </v:shape>
          <o:OLEObject Type="Embed" ProgID="Equation.DSMT4" ShapeID="_x0000_i1060" DrawAspect="Content" ObjectID="_1494402003" r:id="rId84"/>
        </w:object>
      </w:r>
      <w:r w:rsidRPr="003315E5">
        <w:rPr>
          <w:rFonts w:ascii="Arial" w:hAnsi="Arial" w:cs="Arial"/>
          <w:sz w:val="22"/>
          <w:szCs w:val="22"/>
        </w:rPr>
        <w:t xml:space="preserve"> </w:t>
      </w:r>
      <w:r w:rsidRPr="003315E5">
        <w:rPr>
          <w:rFonts w:ascii="Arial" w:hAnsi="Arial" w:cs="Arial"/>
          <w:sz w:val="22"/>
          <w:szCs w:val="22"/>
        </w:rPr>
        <w:tab/>
      </w:r>
      <w:r w:rsidRPr="003315E5">
        <w:rPr>
          <w:rFonts w:ascii="Arial" w:hAnsi="Arial" w:cs="Arial"/>
          <w:sz w:val="22"/>
          <w:szCs w:val="22"/>
        </w:rPr>
        <w:fldChar w:fldCharType="begin"/>
      </w:r>
      <w:r w:rsidRPr="003315E5">
        <w:rPr>
          <w:rFonts w:ascii="Arial" w:hAnsi="Arial" w:cs="Arial"/>
          <w:sz w:val="22"/>
          <w:szCs w:val="22"/>
        </w:rPr>
        <w:instrText xml:space="preserve"> MACROBUTTON MTPlaceRef \* MERGEFORMAT </w:instrText>
      </w:r>
      <w:r w:rsidRPr="003315E5">
        <w:rPr>
          <w:rFonts w:ascii="Arial" w:hAnsi="Arial" w:cs="Arial"/>
          <w:sz w:val="22"/>
          <w:szCs w:val="22"/>
        </w:rPr>
        <w:fldChar w:fldCharType="begin"/>
      </w:r>
      <w:r w:rsidRPr="003315E5">
        <w:rPr>
          <w:rFonts w:ascii="Arial" w:hAnsi="Arial" w:cs="Arial"/>
          <w:sz w:val="22"/>
          <w:szCs w:val="22"/>
        </w:rPr>
        <w:instrText xml:space="preserve"> SEQ MTEqn \h \* MERGEFORMAT </w:instrText>
      </w:r>
      <w:r w:rsidRPr="003315E5">
        <w:rPr>
          <w:rFonts w:ascii="Arial" w:hAnsi="Arial" w:cs="Arial"/>
          <w:sz w:val="22"/>
          <w:szCs w:val="22"/>
        </w:rPr>
        <w:fldChar w:fldCharType="end"/>
      </w:r>
      <w:r w:rsidRPr="003315E5">
        <w:rPr>
          <w:rFonts w:ascii="Arial" w:hAnsi="Arial" w:cs="Arial"/>
          <w:sz w:val="22"/>
          <w:szCs w:val="22"/>
        </w:rPr>
        <w:instrText>(</w:instrText>
      </w:r>
      <w:r w:rsidRPr="003315E5">
        <w:rPr>
          <w:rFonts w:ascii="Arial" w:hAnsi="Arial" w:cs="Arial"/>
          <w:sz w:val="22"/>
          <w:szCs w:val="22"/>
        </w:rPr>
        <w:fldChar w:fldCharType="begin"/>
      </w:r>
      <w:r w:rsidRPr="003315E5">
        <w:rPr>
          <w:rFonts w:ascii="Arial" w:hAnsi="Arial" w:cs="Arial"/>
          <w:sz w:val="22"/>
          <w:szCs w:val="22"/>
        </w:rPr>
        <w:instrText xml:space="preserve"> SEQ MTEqn \c \* Arabic \* MERGEFORMAT </w:instrText>
      </w:r>
      <w:r w:rsidRPr="003315E5">
        <w:rPr>
          <w:rFonts w:ascii="Arial" w:hAnsi="Arial" w:cs="Arial"/>
          <w:sz w:val="22"/>
          <w:szCs w:val="22"/>
        </w:rPr>
        <w:fldChar w:fldCharType="separate"/>
      </w:r>
      <w:r w:rsidRPr="003315E5">
        <w:rPr>
          <w:rFonts w:ascii="Arial" w:hAnsi="Arial" w:cs="Arial"/>
          <w:noProof/>
          <w:sz w:val="22"/>
          <w:szCs w:val="22"/>
        </w:rPr>
        <w:instrText>10</w:instrText>
      </w:r>
      <w:r w:rsidRPr="003315E5">
        <w:rPr>
          <w:rFonts w:ascii="Arial" w:hAnsi="Arial" w:cs="Arial"/>
          <w:noProof/>
          <w:sz w:val="22"/>
          <w:szCs w:val="22"/>
        </w:rPr>
        <w:fldChar w:fldCharType="end"/>
      </w:r>
      <w:r w:rsidRPr="003315E5">
        <w:rPr>
          <w:rFonts w:ascii="Arial" w:hAnsi="Arial" w:cs="Arial"/>
          <w:sz w:val="22"/>
          <w:szCs w:val="22"/>
        </w:rPr>
        <w:instrText>)</w:instrText>
      </w:r>
      <w:r w:rsidRPr="003315E5">
        <w:rPr>
          <w:rFonts w:ascii="Arial" w:hAnsi="Arial" w:cs="Arial"/>
          <w:sz w:val="22"/>
          <w:szCs w:val="22"/>
        </w:rPr>
        <w:fldChar w:fldCharType="end"/>
      </w:r>
    </w:p>
    <w:p w:rsidR="00456B4E" w:rsidRPr="003315E5" w:rsidRDefault="00456B4E" w:rsidP="00456B4E">
      <w:pPr>
        <w:rPr>
          <w:rFonts w:cs="Arial"/>
          <w:szCs w:val="22"/>
          <w:lang w:eastAsia="ja-JP"/>
        </w:rPr>
      </w:pPr>
      <w:r w:rsidRPr="003315E5">
        <w:rPr>
          <w:rFonts w:cs="Arial"/>
          <w:szCs w:val="22"/>
        </w:rPr>
        <w:t>Linear it by</w:t>
      </w:r>
      <w:r w:rsidRPr="003315E5">
        <w:rPr>
          <w:rFonts w:cs="Arial"/>
          <w:position w:val="-6"/>
          <w:szCs w:val="22"/>
        </w:rPr>
        <w:object w:dxaOrig="999" w:dyaOrig="279">
          <v:shape id="_x0000_i1061" type="#_x0000_t75" style="width:50.25pt;height:13.5pt" o:ole="">
            <v:imagedata r:id="rId85" o:title=""/>
          </v:shape>
          <o:OLEObject Type="Embed" ProgID="Equation.DSMT4" ShapeID="_x0000_i1061" DrawAspect="Content" ObjectID="_1494402004" r:id="rId86"/>
        </w:object>
      </w:r>
    </w:p>
    <w:p w:rsidR="00456B4E" w:rsidRPr="003315E5" w:rsidRDefault="00456B4E" w:rsidP="00456B4E">
      <w:pPr>
        <w:pStyle w:val="MTDisplayEquation"/>
        <w:spacing w:line="240" w:lineRule="auto"/>
        <w:rPr>
          <w:rFonts w:ascii="Arial" w:hAnsi="Arial" w:cs="Arial"/>
          <w:sz w:val="22"/>
          <w:szCs w:val="22"/>
        </w:rPr>
      </w:pPr>
      <w:r w:rsidRPr="003315E5">
        <w:rPr>
          <w:rFonts w:ascii="Arial" w:hAnsi="Arial" w:cs="Arial"/>
          <w:sz w:val="22"/>
          <w:szCs w:val="22"/>
        </w:rPr>
        <w:tab/>
      </w:r>
      <w:r w:rsidRPr="003315E5">
        <w:rPr>
          <w:rFonts w:ascii="Arial" w:hAnsi="Arial" w:cs="Arial"/>
          <w:position w:val="-32"/>
          <w:sz w:val="22"/>
          <w:szCs w:val="22"/>
        </w:rPr>
        <w:object w:dxaOrig="1600" w:dyaOrig="700">
          <v:shape id="_x0000_i1062" type="#_x0000_t75" style="width:80.25pt;height:35.25pt" o:ole="">
            <v:imagedata r:id="rId62" o:title=""/>
          </v:shape>
          <o:OLEObject Type="Embed" ProgID="Equation.DSMT4" ShapeID="_x0000_i1062" DrawAspect="Content" ObjectID="_1494402005" r:id="rId87"/>
        </w:object>
      </w:r>
      <w:r w:rsidRPr="003315E5">
        <w:rPr>
          <w:rFonts w:ascii="Arial" w:hAnsi="Arial" w:cs="Arial"/>
          <w:sz w:val="22"/>
          <w:szCs w:val="22"/>
        </w:rPr>
        <w:t xml:space="preserve"> </w:t>
      </w:r>
      <w:r w:rsidRPr="003315E5">
        <w:rPr>
          <w:rFonts w:ascii="Arial" w:hAnsi="Arial" w:cs="Arial"/>
          <w:sz w:val="22"/>
          <w:szCs w:val="22"/>
        </w:rPr>
        <w:tab/>
      </w:r>
      <w:r w:rsidRPr="003315E5">
        <w:rPr>
          <w:rFonts w:ascii="Arial" w:hAnsi="Arial" w:cs="Arial"/>
          <w:sz w:val="22"/>
          <w:szCs w:val="22"/>
        </w:rPr>
        <w:fldChar w:fldCharType="begin"/>
      </w:r>
      <w:r w:rsidRPr="003315E5">
        <w:rPr>
          <w:rFonts w:ascii="Arial" w:hAnsi="Arial" w:cs="Arial"/>
          <w:sz w:val="22"/>
          <w:szCs w:val="22"/>
        </w:rPr>
        <w:instrText xml:space="preserve"> MACROBUTTON MTPlaceRef \* MERGEFORMAT </w:instrText>
      </w:r>
      <w:r w:rsidRPr="003315E5">
        <w:rPr>
          <w:rFonts w:ascii="Arial" w:hAnsi="Arial" w:cs="Arial"/>
          <w:sz w:val="22"/>
          <w:szCs w:val="22"/>
        </w:rPr>
        <w:fldChar w:fldCharType="begin"/>
      </w:r>
      <w:r w:rsidRPr="003315E5">
        <w:rPr>
          <w:rFonts w:ascii="Arial" w:hAnsi="Arial" w:cs="Arial"/>
          <w:sz w:val="22"/>
          <w:szCs w:val="22"/>
        </w:rPr>
        <w:instrText xml:space="preserve"> SEQ MTEqn \h \* MERGEFORMAT </w:instrText>
      </w:r>
      <w:r w:rsidRPr="003315E5">
        <w:rPr>
          <w:rFonts w:ascii="Arial" w:hAnsi="Arial" w:cs="Arial"/>
          <w:sz w:val="22"/>
          <w:szCs w:val="22"/>
        </w:rPr>
        <w:fldChar w:fldCharType="end"/>
      </w:r>
      <w:r w:rsidRPr="003315E5">
        <w:rPr>
          <w:rFonts w:ascii="Arial" w:hAnsi="Arial" w:cs="Arial"/>
          <w:sz w:val="22"/>
          <w:szCs w:val="22"/>
        </w:rPr>
        <w:instrText>(</w:instrText>
      </w:r>
      <w:r w:rsidRPr="003315E5">
        <w:rPr>
          <w:rFonts w:ascii="Arial" w:hAnsi="Arial" w:cs="Arial"/>
          <w:sz w:val="22"/>
          <w:szCs w:val="22"/>
        </w:rPr>
        <w:fldChar w:fldCharType="begin"/>
      </w:r>
      <w:r w:rsidRPr="003315E5">
        <w:rPr>
          <w:rFonts w:ascii="Arial" w:hAnsi="Arial" w:cs="Arial"/>
          <w:sz w:val="22"/>
          <w:szCs w:val="22"/>
        </w:rPr>
        <w:instrText xml:space="preserve"> SEQ MTEqn \c \* Arabic \* MERGEFORMAT </w:instrText>
      </w:r>
      <w:r w:rsidRPr="003315E5">
        <w:rPr>
          <w:rFonts w:ascii="Arial" w:hAnsi="Arial" w:cs="Arial"/>
          <w:sz w:val="22"/>
          <w:szCs w:val="22"/>
        </w:rPr>
        <w:fldChar w:fldCharType="separate"/>
      </w:r>
      <w:r w:rsidRPr="003315E5">
        <w:rPr>
          <w:rFonts w:ascii="Arial" w:hAnsi="Arial" w:cs="Arial"/>
          <w:noProof/>
          <w:sz w:val="22"/>
          <w:szCs w:val="22"/>
        </w:rPr>
        <w:instrText>11</w:instrText>
      </w:r>
      <w:r w:rsidRPr="003315E5">
        <w:rPr>
          <w:rFonts w:ascii="Arial" w:hAnsi="Arial" w:cs="Arial"/>
          <w:noProof/>
          <w:sz w:val="22"/>
          <w:szCs w:val="22"/>
        </w:rPr>
        <w:fldChar w:fldCharType="end"/>
      </w:r>
      <w:r w:rsidRPr="003315E5">
        <w:rPr>
          <w:rFonts w:ascii="Arial" w:hAnsi="Arial" w:cs="Arial"/>
          <w:sz w:val="22"/>
          <w:szCs w:val="22"/>
        </w:rPr>
        <w:instrText>)</w:instrText>
      </w:r>
      <w:r w:rsidRPr="003315E5">
        <w:rPr>
          <w:rFonts w:ascii="Arial" w:hAnsi="Arial" w:cs="Arial"/>
          <w:sz w:val="22"/>
          <w:szCs w:val="22"/>
        </w:rPr>
        <w:fldChar w:fldCharType="end"/>
      </w:r>
    </w:p>
    <w:p w:rsidR="00456B4E" w:rsidRPr="003315E5" w:rsidRDefault="00456B4E" w:rsidP="00063E77">
      <w:pPr>
        <w:pStyle w:val="MTDisplayEquation"/>
        <w:spacing w:line="240" w:lineRule="auto"/>
        <w:rPr>
          <w:rFonts w:ascii="Arial" w:hAnsi="Arial" w:cs="Arial"/>
          <w:sz w:val="22"/>
          <w:szCs w:val="22"/>
        </w:rPr>
      </w:pPr>
      <w:r w:rsidRPr="003315E5">
        <w:rPr>
          <w:rFonts w:ascii="Arial" w:hAnsi="Arial" w:cs="Arial"/>
          <w:sz w:val="22"/>
          <w:szCs w:val="22"/>
        </w:rPr>
        <w:tab/>
      </w:r>
      <w:r w:rsidRPr="003315E5">
        <w:rPr>
          <w:rFonts w:ascii="Arial" w:hAnsi="Arial" w:cs="Arial"/>
          <w:position w:val="-70"/>
          <w:sz w:val="22"/>
          <w:szCs w:val="22"/>
        </w:rPr>
        <w:object w:dxaOrig="1020" w:dyaOrig="1520">
          <v:shape id="_x0000_i1063" type="#_x0000_t75" style="width:51pt;height:75.75pt" o:ole="">
            <v:imagedata r:id="rId88" o:title=""/>
          </v:shape>
          <o:OLEObject Type="Embed" ProgID="Equation.DSMT4" ShapeID="_x0000_i1063" DrawAspect="Content" ObjectID="_1494402006" r:id="rId89"/>
        </w:object>
      </w:r>
      <w:r w:rsidRPr="003315E5">
        <w:rPr>
          <w:rFonts w:ascii="Arial" w:hAnsi="Arial" w:cs="Arial"/>
          <w:sz w:val="22"/>
          <w:szCs w:val="22"/>
        </w:rPr>
        <w:t xml:space="preserve"> </w:t>
      </w:r>
      <w:r w:rsidRPr="003315E5">
        <w:rPr>
          <w:rFonts w:ascii="Arial" w:hAnsi="Arial" w:cs="Arial"/>
          <w:sz w:val="22"/>
          <w:szCs w:val="22"/>
        </w:rPr>
        <w:tab/>
      </w:r>
      <w:r w:rsidRPr="003315E5">
        <w:rPr>
          <w:rFonts w:ascii="Arial" w:hAnsi="Arial" w:cs="Arial"/>
          <w:sz w:val="22"/>
          <w:szCs w:val="22"/>
        </w:rPr>
        <w:fldChar w:fldCharType="begin"/>
      </w:r>
      <w:r w:rsidRPr="003315E5">
        <w:rPr>
          <w:rFonts w:ascii="Arial" w:hAnsi="Arial" w:cs="Arial"/>
          <w:sz w:val="22"/>
          <w:szCs w:val="22"/>
        </w:rPr>
        <w:instrText xml:space="preserve"> MACROBUTTON MTPlaceRef \* MERGEFORMAT </w:instrText>
      </w:r>
      <w:r w:rsidRPr="003315E5">
        <w:rPr>
          <w:rFonts w:ascii="Arial" w:hAnsi="Arial" w:cs="Arial"/>
          <w:sz w:val="22"/>
          <w:szCs w:val="22"/>
        </w:rPr>
        <w:fldChar w:fldCharType="begin"/>
      </w:r>
      <w:r w:rsidRPr="003315E5">
        <w:rPr>
          <w:rFonts w:ascii="Arial" w:hAnsi="Arial" w:cs="Arial"/>
          <w:sz w:val="22"/>
          <w:szCs w:val="22"/>
        </w:rPr>
        <w:instrText xml:space="preserve"> SEQ MTEqn \h \* MERGEFORMAT </w:instrText>
      </w:r>
      <w:r w:rsidRPr="003315E5">
        <w:rPr>
          <w:rFonts w:ascii="Arial" w:hAnsi="Arial" w:cs="Arial"/>
          <w:sz w:val="22"/>
          <w:szCs w:val="22"/>
        </w:rPr>
        <w:fldChar w:fldCharType="end"/>
      </w:r>
      <w:r w:rsidRPr="003315E5">
        <w:rPr>
          <w:rFonts w:ascii="Arial" w:hAnsi="Arial" w:cs="Arial"/>
          <w:sz w:val="22"/>
          <w:szCs w:val="22"/>
        </w:rPr>
        <w:instrText>(</w:instrText>
      </w:r>
      <w:r w:rsidRPr="003315E5">
        <w:rPr>
          <w:rFonts w:ascii="Arial" w:hAnsi="Arial" w:cs="Arial"/>
          <w:sz w:val="22"/>
          <w:szCs w:val="22"/>
        </w:rPr>
        <w:fldChar w:fldCharType="begin"/>
      </w:r>
      <w:r w:rsidRPr="003315E5">
        <w:rPr>
          <w:rFonts w:ascii="Arial" w:hAnsi="Arial" w:cs="Arial"/>
          <w:sz w:val="22"/>
          <w:szCs w:val="22"/>
        </w:rPr>
        <w:instrText xml:space="preserve"> SEQ MTEqn \c \* Arabic \* MERGEFORMAT </w:instrText>
      </w:r>
      <w:r w:rsidRPr="003315E5">
        <w:rPr>
          <w:rFonts w:ascii="Arial" w:hAnsi="Arial" w:cs="Arial"/>
          <w:sz w:val="22"/>
          <w:szCs w:val="22"/>
        </w:rPr>
        <w:fldChar w:fldCharType="separate"/>
      </w:r>
      <w:r w:rsidRPr="003315E5">
        <w:rPr>
          <w:rFonts w:ascii="Arial" w:hAnsi="Arial" w:cs="Arial"/>
          <w:noProof/>
          <w:sz w:val="22"/>
          <w:szCs w:val="22"/>
        </w:rPr>
        <w:instrText>12</w:instrText>
      </w:r>
      <w:r w:rsidRPr="003315E5">
        <w:rPr>
          <w:rFonts w:ascii="Arial" w:hAnsi="Arial" w:cs="Arial"/>
          <w:noProof/>
          <w:sz w:val="22"/>
          <w:szCs w:val="22"/>
        </w:rPr>
        <w:fldChar w:fldCharType="end"/>
      </w:r>
      <w:r w:rsidRPr="003315E5">
        <w:rPr>
          <w:rFonts w:ascii="Arial" w:hAnsi="Arial" w:cs="Arial"/>
          <w:sz w:val="22"/>
          <w:szCs w:val="22"/>
        </w:rPr>
        <w:instrText>)</w:instrText>
      </w:r>
      <w:r w:rsidRPr="003315E5">
        <w:rPr>
          <w:rFonts w:ascii="Arial" w:hAnsi="Arial" w:cs="Arial"/>
          <w:sz w:val="22"/>
          <w:szCs w:val="22"/>
        </w:rPr>
        <w:fldChar w:fldCharType="end"/>
      </w:r>
    </w:p>
    <w:p w:rsidR="00456B4E" w:rsidRPr="003315E5" w:rsidRDefault="00456B4E" w:rsidP="00456B4E">
      <w:pPr>
        <w:rPr>
          <w:rFonts w:cs="Arial"/>
          <w:szCs w:val="22"/>
          <w:lang w:eastAsia="zh-CN"/>
        </w:rPr>
      </w:pPr>
      <w:r w:rsidRPr="003315E5">
        <w:rPr>
          <w:rFonts w:cs="Arial"/>
          <w:szCs w:val="22"/>
        </w:rPr>
        <w:t xml:space="preserve">For the Northwestern Model (1967), the formula is </w:t>
      </w:r>
    </w:p>
    <w:p w:rsidR="00456B4E" w:rsidRPr="003315E5" w:rsidRDefault="00456B4E" w:rsidP="00063E77">
      <w:pPr>
        <w:pStyle w:val="MTDisplayEquation"/>
        <w:spacing w:line="240" w:lineRule="auto"/>
        <w:rPr>
          <w:rFonts w:ascii="Arial" w:hAnsi="Arial" w:cs="Arial"/>
          <w:sz w:val="22"/>
          <w:szCs w:val="22"/>
        </w:rPr>
      </w:pPr>
      <w:r w:rsidRPr="003315E5">
        <w:rPr>
          <w:rFonts w:ascii="Arial" w:hAnsi="Arial" w:cs="Arial"/>
          <w:sz w:val="22"/>
          <w:szCs w:val="22"/>
        </w:rPr>
        <w:tab/>
      </w:r>
      <w:r w:rsidRPr="003315E5">
        <w:rPr>
          <w:rFonts w:ascii="Arial" w:hAnsi="Arial" w:cs="Arial"/>
          <w:position w:val="-38"/>
          <w:sz w:val="22"/>
          <w:szCs w:val="22"/>
        </w:rPr>
        <w:object w:dxaOrig="2280" w:dyaOrig="880">
          <v:shape id="_x0000_i1064" type="#_x0000_t75" style="width:114pt;height:43.5pt" o:ole="">
            <v:imagedata r:id="rId90" o:title=""/>
          </v:shape>
          <o:OLEObject Type="Embed" ProgID="Equation.DSMT4" ShapeID="_x0000_i1064" DrawAspect="Content" ObjectID="_1494402007" r:id="rId91"/>
        </w:object>
      </w:r>
      <w:r w:rsidRPr="003315E5">
        <w:rPr>
          <w:rFonts w:ascii="Arial" w:hAnsi="Arial" w:cs="Arial"/>
          <w:sz w:val="22"/>
          <w:szCs w:val="22"/>
        </w:rPr>
        <w:t xml:space="preserve"> </w:t>
      </w:r>
      <w:r w:rsidRPr="003315E5">
        <w:rPr>
          <w:rFonts w:ascii="Arial" w:hAnsi="Arial" w:cs="Arial"/>
          <w:sz w:val="22"/>
          <w:szCs w:val="22"/>
        </w:rPr>
        <w:tab/>
      </w:r>
      <w:r w:rsidRPr="003315E5">
        <w:rPr>
          <w:rFonts w:ascii="Arial" w:hAnsi="Arial" w:cs="Arial"/>
          <w:sz w:val="22"/>
          <w:szCs w:val="22"/>
        </w:rPr>
        <w:fldChar w:fldCharType="begin"/>
      </w:r>
      <w:r w:rsidRPr="003315E5">
        <w:rPr>
          <w:rFonts w:ascii="Arial" w:hAnsi="Arial" w:cs="Arial"/>
          <w:sz w:val="22"/>
          <w:szCs w:val="22"/>
        </w:rPr>
        <w:instrText xml:space="preserve"> MACROBUTTON MTPlaceRef \* MERGEFORMAT </w:instrText>
      </w:r>
      <w:r w:rsidRPr="003315E5">
        <w:rPr>
          <w:rFonts w:ascii="Arial" w:hAnsi="Arial" w:cs="Arial"/>
          <w:sz w:val="22"/>
          <w:szCs w:val="22"/>
        </w:rPr>
        <w:fldChar w:fldCharType="begin"/>
      </w:r>
      <w:r w:rsidRPr="003315E5">
        <w:rPr>
          <w:rFonts w:ascii="Arial" w:hAnsi="Arial" w:cs="Arial"/>
          <w:sz w:val="22"/>
          <w:szCs w:val="22"/>
        </w:rPr>
        <w:instrText xml:space="preserve"> SEQ MTEqn \h \* MERGEFORMAT </w:instrText>
      </w:r>
      <w:r w:rsidRPr="003315E5">
        <w:rPr>
          <w:rFonts w:ascii="Arial" w:hAnsi="Arial" w:cs="Arial"/>
          <w:sz w:val="22"/>
          <w:szCs w:val="22"/>
        </w:rPr>
        <w:fldChar w:fldCharType="end"/>
      </w:r>
      <w:r w:rsidRPr="003315E5">
        <w:rPr>
          <w:rFonts w:ascii="Arial" w:hAnsi="Arial" w:cs="Arial"/>
          <w:sz w:val="22"/>
          <w:szCs w:val="22"/>
        </w:rPr>
        <w:instrText>(</w:instrText>
      </w:r>
      <w:r w:rsidRPr="003315E5">
        <w:rPr>
          <w:rFonts w:ascii="Arial" w:hAnsi="Arial" w:cs="Arial"/>
          <w:sz w:val="22"/>
          <w:szCs w:val="22"/>
        </w:rPr>
        <w:fldChar w:fldCharType="begin"/>
      </w:r>
      <w:r w:rsidRPr="003315E5">
        <w:rPr>
          <w:rFonts w:ascii="Arial" w:hAnsi="Arial" w:cs="Arial"/>
          <w:sz w:val="22"/>
          <w:szCs w:val="22"/>
        </w:rPr>
        <w:instrText xml:space="preserve"> SEQ MTEqn \c \* Arabic \* MERGEFORMAT </w:instrText>
      </w:r>
      <w:r w:rsidRPr="003315E5">
        <w:rPr>
          <w:rFonts w:ascii="Arial" w:hAnsi="Arial" w:cs="Arial"/>
          <w:sz w:val="22"/>
          <w:szCs w:val="22"/>
        </w:rPr>
        <w:fldChar w:fldCharType="separate"/>
      </w:r>
      <w:r w:rsidRPr="003315E5">
        <w:rPr>
          <w:rFonts w:ascii="Arial" w:hAnsi="Arial" w:cs="Arial"/>
          <w:noProof/>
          <w:sz w:val="22"/>
          <w:szCs w:val="22"/>
        </w:rPr>
        <w:instrText>13</w:instrText>
      </w:r>
      <w:r w:rsidRPr="003315E5">
        <w:rPr>
          <w:rFonts w:ascii="Arial" w:hAnsi="Arial" w:cs="Arial"/>
          <w:noProof/>
          <w:sz w:val="22"/>
          <w:szCs w:val="22"/>
        </w:rPr>
        <w:fldChar w:fldCharType="end"/>
      </w:r>
      <w:r w:rsidRPr="003315E5">
        <w:rPr>
          <w:rFonts w:ascii="Arial" w:hAnsi="Arial" w:cs="Arial"/>
          <w:sz w:val="22"/>
          <w:szCs w:val="22"/>
        </w:rPr>
        <w:instrText>)</w:instrText>
      </w:r>
      <w:r w:rsidRPr="003315E5">
        <w:rPr>
          <w:rFonts w:ascii="Arial" w:hAnsi="Arial" w:cs="Arial"/>
          <w:sz w:val="22"/>
          <w:szCs w:val="22"/>
        </w:rPr>
        <w:fldChar w:fldCharType="end"/>
      </w:r>
    </w:p>
    <w:p w:rsidR="00456B4E" w:rsidRPr="003315E5" w:rsidRDefault="00456B4E" w:rsidP="00456B4E">
      <w:pPr>
        <w:rPr>
          <w:rFonts w:cs="Arial"/>
          <w:szCs w:val="22"/>
        </w:rPr>
      </w:pPr>
      <w:r w:rsidRPr="003315E5">
        <w:rPr>
          <w:rFonts w:cs="Arial"/>
          <w:szCs w:val="22"/>
        </w:rPr>
        <w:t>Converting it to linear function,</w:t>
      </w:r>
    </w:p>
    <w:p w:rsidR="00456B4E" w:rsidRPr="003315E5" w:rsidRDefault="00456B4E" w:rsidP="00456B4E">
      <w:pPr>
        <w:pStyle w:val="MTDisplayEquation"/>
        <w:spacing w:line="240" w:lineRule="auto"/>
        <w:rPr>
          <w:rFonts w:ascii="Arial" w:hAnsi="Arial" w:cs="Arial"/>
          <w:sz w:val="22"/>
          <w:szCs w:val="22"/>
        </w:rPr>
      </w:pPr>
      <w:r w:rsidRPr="003315E5">
        <w:rPr>
          <w:rFonts w:ascii="Arial" w:hAnsi="Arial" w:cs="Arial"/>
          <w:sz w:val="22"/>
          <w:szCs w:val="22"/>
        </w:rPr>
        <w:tab/>
      </w:r>
      <w:r w:rsidRPr="003315E5">
        <w:rPr>
          <w:rFonts w:ascii="Arial" w:hAnsi="Arial" w:cs="Arial"/>
          <w:position w:val="-40"/>
          <w:sz w:val="22"/>
          <w:szCs w:val="22"/>
        </w:rPr>
        <w:object w:dxaOrig="2940" w:dyaOrig="920">
          <v:shape id="_x0000_i1065" type="#_x0000_t75" style="width:147pt;height:45.75pt" o:ole="">
            <v:imagedata r:id="rId92" o:title=""/>
          </v:shape>
          <o:OLEObject Type="Embed" ProgID="Equation.DSMT4" ShapeID="_x0000_i1065" DrawAspect="Content" ObjectID="_1494402008" r:id="rId93"/>
        </w:object>
      </w:r>
      <w:r w:rsidRPr="003315E5">
        <w:rPr>
          <w:rFonts w:ascii="Arial" w:hAnsi="Arial" w:cs="Arial"/>
          <w:sz w:val="22"/>
          <w:szCs w:val="22"/>
        </w:rPr>
        <w:t xml:space="preserve"> </w:t>
      </w:r>
      <w:r w:rsidRPr="003315E5">
        <w:rPr>
          <w:rFonts w:ascii="Arial" w:hAnsi="Arial" w:cs="Arial"/>
          <w:sz w:val="22"/>
          <w:szCs w:val="22"/>
        </w:rPr>
        <w:tab/>
      </w:r>
      <w:r w:rsidRPr="003315E5">
        <w:rPr>
          <w:rFonts w:ascii="Arial" w:hAnsi="Arial" w:cs="Arial"/>
          <w:sz w:val="22"/>
          <w:szCs w:val="22"/>
        </w:rPr>
        <w:fldChar w:fldCharType="begin"/>
      </w:r>
      <w:r w:rsidRPr="003315E5">
        <w:rPr>
          <w:rFonts w:ascii="Arial" w:hAnsi="Arial" w:cs="Arial"/>
          <w:sz w:val="22"/>
          <w:szCs w:val="22"/>
        </w:rPr>
        <w:instrText xml:space="preserve"> MACROBUTTON MTPlaceRef \* MERGEFORMAT </w:instrText>
      </w:r>
      <w:r w:rsidRPr="003315E5">
        <w:rPr>
          <w:rFonts w:ascii="Arial" w:hAnsi="Arial" w:cs="Arial"/>
          <w:sz w:val="22"/>
          <w:szCs w:val="22"/>
        </w:rPr>
        <w:fldChar w:fldCharType="begin"/>
      </w:r>
      <w:r w:rsidRPr="003315E5">
        <w:rPr>
          <w:rFonts w:ascii="Arial" w:hAnsi="Arial" w:cs="Arial"/>
          <w:sz w:val="22"/>
          <w:szCs w:val="22"/>
        </w:rPr>
        <w:instrText xml:space="preserve"> SEQ MTEqn \h \* MERGEFORMAT </w:instrText>
      </w:r>
      <w:r w:rsidRPr="003315E5">
        <w:rPr>
          <w:rFonts w:ascii="Arial" w:hAnsi="Arial" w:cs="Arial"/>
          <w:sz w:val="22"/>
          <w:szCs w:val="22"/>
        </w:rPr>
        <w:fldChar w:fldCharType="end"/>
      </w:r>
      <w:r w:rsidRPr="003315E5">
        <w:rPr>
          <w:rFonts w:ascii="Arial" w:hAnsi="Arial" w:cs="Arial"/>
          <w:sz w:val="22"/>
          <w:szCs w:val="22"/>
        </w:rPr>
        <w:instrText>(</w:instrText>
      </w:r>
      <w:r w:rsidRPr="003315E5">
        <w:rPr>
          <w:rFonts w:ascii="Arial" w:hAnsi="Arial" w:cs="Arial"/>
          <w:sz w:val="22"/>
          <w:szCs w:val="22"/>
        </w:rPr>
        <w:fldChar w:fldCharType="begin"/>
      </w:r>
      <w:r w:rsidRPr="003315E5">
        <w:rPr>
          <w:rFonts w:ascii="Arial" w:hAnsi="Arial" w:cs="Arial"/>
          <w:sz w:val="22"/>
          <w:szCs w:val="22"/>
        </w:rPr>
        <w:instrText xml:space="preserve"> SEQ MTEqn \c \* Arabic \* MERGEFORMAT </w:instrText>
      </w:r>
      <w:r w:rsidRPr="003315E5">
        <w:rPr>
          <w:rFonts w:ascii="Arial" w:hAnsi="Arial" w:cs="Arial"/>
          <w:sz w:val="22"/>
          <w:szCs w:val="22"/>
        </w:rPr>
        <w:fldChar w:fldCharType="separate"/>
      </w:r>
      <w:r w:rsidRPr="003315E5">
        <w:rPr>
          <w:rFonts w:ascii="Arial" w:hAnsi="Arial" w:cs="Arial"/>
          <w:noProof/>
          <w:sz w:val="22"/>
          <w:szCs w:val="22"/>
        </w:rPr>
        <w:instrText>14</w:instrText>
      </w:r>
      <w:r w:rsidRPr="003315E5">
        <w:rPr>
          <w:rFonts w:ascii="Arial" w:hAnsi="Arial" w:cs="Arial"/>
          <w:noProof/>
          <w:sz w:val="22"/>
          <w:szCs w:val="22"/>
        </w:rPr>
        <w:fldChar w:fldCharType="end"/>
      </w:r>
      <w:r w:rsidRPr="003315E5">
        <w:rPr>
          <w:rFonts w:ascii="Arial" w:hAnsi="Arial" w:cs="Arial"/>
          <w:sz w:val="22"/>
          <w:szCs w:val="22"/>
        </w:rPr>
        <w:instrText>)</w:instrText>
      </w:r>
      <w:r w:rsidRPr="003315E5">
        <w:rPr>
          <w:rFonts w:ascii="Arial" w:hAnsi="Arial" w:cs="Arial"/>
          <w:sz w:val="22"/>
          <w:szCs w:val="22"/>
        </w:rPr>
        <w:fldChar w:fldCharType="end"/>
      </w:r>
    </w:p>
    <w:p w:rsidR="00456B4E" w:rsidRPr="003315E5" w:rsidRDefault="00456B4E" w:rsidP="00456B4E">
      <w:pPr>
        <w:rPr>
          <w:rFonts w:cs="Arial"/>
          <w:szCs w:val="22"/>
          <w:lang w:eastAsia="ja-JP"/>
        </w:rPr>
      </w:pPr>
      <w:r w:rsidRPr="003315E5">
        <w:rPr>
          <w:rFonts w:cs="Arial"/>
          <w:szCs w:val="22"/>
        </w:rPr>
        <w:t>Linear it by</w:t>
      </w:r>
      <w:r w:rsidRPr="003315E5">
        <w:rPr>
          <w:rFonts w:cs="Arial"/>
          <w:position w:val="-6"/>
          <w:szCs w:val="22"/>
        </w:rPr>
        <w:object w:dxaOrig="1020" w:dyaOrig="340">
          <v:shape id="_x0000_i1066" type="#_x0000_t75" style="width:51pt;height:16.5pt" o:ole="">
            <v:imagedata r:id="rId94" o:title=""/>
          </v:shape>
          <o:OLEObject Type="Embed" ProgID="Equation.DSMT4" ShapeID="_x0000_i1066" DrawAspect="Content" ObjectID="_1494402009" r:id="rId95"/>
        </w:object>
      </w:r>
    </w:p>
    <w:p w:rsidR="00456B4E" w:rsidRPr="003315E5" w:rsidRDefault="00456B4E" w:rsidP="00456B4E">
      <w:pPr>
        <w:pStyle w:val="MTDisplayEquation"/>
        <w:spacing w:line="240" w:lineRule="auto"/>
        <w:rPr>
          <w:rFonts w:ascii="Arial" w:hAnsi="Arial" w:cs="Arial"/>
          <w:sz w:val="22"/>
          <w:szCs w:val="22"/>
        </w:rPr>
      </w:pPr>
      <w:r w:rsidRPr="003315E5">
        <w:rPr>
          <w:rFonts w:ascii="Arial" w:hAnsi="Arial" w:cs="Arial"/>
          <w:sz w:val="22"/>
          <w:szCs w:val="22"/>
        </w:rPr>
        <w:tab/>
      </w:r>
      <w:r w:rsidRPr="003315E5">
        <w:rPr>
          <w:rFonts w:ascii="Arial" w:hAnsi="Arial" w:cs="Arial"/>
          <w:position w:val="-32"/>
          <w:sz w:val="22"/>
          <w:szCs w:val="22"/>
        </w:rPr>
        <w:object w:dxaOrig="2079" w:dyaOrig="800">
          <v:shape id="_x0000_i1067" type="#_x0000_t75" style="width:103.5pt;height:40.5pt" o:ole="">
            <v:imagedata r:id="rId96" o:title=""/>
          </v:shape>
          <o:OLEObject Type="Embed" ProgID="Equation.DSMT4" ShapeID="_x0000_i1067" DrawAspect="Content" ObjectID="_1494402010" r:id="rId97"/>
        </w:object>
      </w:r>
      <w:r w:rsidRPr="003315E5">
        <w:rPr>
          <w:rFonts w:ascii="Arial" w:hAnsi="Arial" w:cs="Arial"/>
          <w:sz w:val="22"/>
          <w:szCs w:val="22"/>
        </w:rPr>
        <w:t xml:space="preserve"> </w:t>
      </w:r>
      <w:r w:rsidRPr="003315E5">
        <w:rPr>
          <w:rFonts w:ascii="Arial" w:hAnsi="Arial" w:cs="Arial"/>
          <w:sz w:val="22"/>
          <w:szCs w:val="22"/>
        </w:rPr>
        <w:tab/>
      </w:r>
      <w:r w:rsidRPr="003315E5">
        <w:rPr>
          <w:rFonts w:ascii="Arial" w:hAnsi="Arial" w:cs="Arial"/>
          <w:sz w:val="22"/>
          <w:szCs w:val="22"/>
        </w:rPr>
        <w:fldChar w:fldCharType="begin"/>
      </w:r>
      <w:r w:rsidRPr="003315E5">
        <w:rPr>
          <w:rFonts w:ascii="Arial" w:hAnsi="Arial" w:cs="Arial"/>
          <w:sz w:val="22"/>
          <w:szCs w:val="22"/>
        </w:rPr>
        <w:instrText xml:space="preserve"> MACROBUTTON MTPlaceRef \* MERGEFORMAT </w:instrText>
      </w:r>
      <w:r w:rsidRPr="003315E5">
        <w:rPr>
          <w:rFonts w:ascii="Arial" w:hAnsi="Arial" w:cs="Arial"/>
          <w:sz w:val="22"/>
          <w:szCs w:val="22"/>
        </w:rPr>
        <w:fldChar w:fldCharType="begin"/>
      </w:r>
      <w:r w:rsidRPr="003315E5">
        <w:rPr>
          <w:rFonts w:ascii="Arial" w:hAnsi="Arial" w:cs="Arial"/>
          <w:sz w:val="22"/>
          <w:szCs w:val="22"/>
        </w:rPr>
        <w:instrText xml:space="preserve"> SEQ MTEqn \h \* MERGEFORMAT </w:instrText>
      </w:r>
      <w:r w:rsidRPr="003315E5">
        <w:rPr>
          <w:rFonts w:ascii="Arial" w:hAnsi="Arial" w:cs="Arial"/>
          <w:sz w:val="22"/>
          <w:szCs w:val="22"/>
        </w:rPr>
        <w:fldChar w:fldCharType="end"/>
      </w:r>
      <w:r w:rsidRPr="003315E5">
        <w:rPr>
          <w:rFonts w:ascii="Arial" w:hAnsi="Arial" w:cs="Arial"/>
          <w:sz w:val="22"/>
          <w:szCs w:val="22"/>
        </w:rPr>
        <w:instrText>(</w:instrText>
      </w:r>
      <w:r w:rsidRPr="003315E5">
        <w:rPr>
          <w:rFonts w:ascii="Arial" w:hAnsi="Arial" w:cs="Arial"/>
          <w:sz w:val="22"/>
          <w:szCs w:val="22"/>
        </w:rPr>
        <w:fldChar w:fldCharType="begin"/>
      </w:r>
      <w:r w:rsidRPr="003315E5">
        <w:rPr>
          <w:rFonts w:ascii="Arial" w:hAnsi="Arial" w:cs="Arial"/>
          <w:sz w:val="22"/>
          <w:szCs w:val="22"/>
        </w:rPr>
        <w:instrText xml:space="preserve"> SEQ MTEqn \c \* Arabic \* MERGEFORMAT </w:instrText>
      </w:r>
      <w:r w:rsidRPr="003315E5">
        <w:rPr>
          <w:rFonts w:ascii="Arial" w:hAnsi="Arial" w:cs="Arial"/>
          <w:sz w:val="22"/>
          <w:szCs w:val="22"/>
        </w:rPr>
        <w:fldChar w:fldCharType="separate"/>
      </w:r>
      <w:r w:rsidRPr="003315E5">
        <w:rPr>
          <w:rFonts w:ascii="Arial" w:hAnsi="Arial" w:cs="Arial"/>
          <w:noProof/>
          <w:sz w:val="22"/>
          <w:szCs w:val="22"/>
        </w:rPr>
        <w:instrText>15</w:instrText>
      </w:r>
      <w:r w:rsidRPr="003315E5">
        <w:rPr>
          <w:rFonts w:ascii="Arial" w:hAnsi="Arial" w:cs="Arial"/>
          <w:noProof/>
          <w:sz w:val="22"/>
          <w:szCs w:val="22"/>
        </w:rPr>
        <w:fldChar w:fldCharType="end"/>
      </w:r>
      <w:r w:rsidRPr="003315E5">
        <w:rPr>
          <w:rFonts w:ascii="Arial" w:hAnsi="Arial" w:cs="Arial"/>
          <w:sz w:val="22"/>
          <w:szCs w:val="22"/>
        </w:rPr>
        <w:instrText>)</w:instrText>
      </w:r>
      <w:r w:rsidRPr="003315E5">
        <w:rPr>
          <w:rFonts w:ascii="Arial" w:hAnsi="Arial" w:cs="Arial"/>
          <w:sz w:val="22"/>
          <w:szCs w:val="22"/>
        </w:rPr>
        <w:fldChar w:fldCharType="end"/>
      </w:r>
    </w:p>
    <w:p w:rsidR="00456B4E" w:rsidRPr="003315E5" w:rsidRDefault="00456B4E" w:rsidP="00456B4E">
      <w:pPr>
        <w:pStyle w:val="MTDisplayEquation"/>
        <w:spacing w:line="240" w:lineRule="auto"/>
        <w:rPr>
          <w:rFonts w:ascii="Arial" w:hAnsi="Arial" w:cs="Arial"/>
          <w:sz w:val="22"/>
          <w:szCs w:val="22"/>
        </w:rPr>
      </w:pPr>
      <w:r w:rsidRPr="003315E5">
        <w:rPr>
          <w:rFonts w:ascii="Arial" w:hAnsi="Arial" w:cs="Arial"/>
          <w:sz w:val="22"/>
          <w:szCs w:val="22"/>
        </w:rPr>
        <w:tab/>
      </w:r>
      <w:r w:rsidRPr="003315E5">
        <w:rPr>
          <w:rFonts w:ascii="Arial" w:hAnsi="Arial" w:cs="Arial"/>
          <w:position w:val="-30"/>
          <w:sz w:val="22"/>
          <w:szCs w:val="22"/>
        </w:rPr>
        <w:object w:dxaOrig="1960" w:dyaOrig="680">
          <v:shape id="_x0000_i1068" type="#_x0000_t75" style="width:98.25pt;height:33.75pt" o:ole="">
            <v:imagedata r:id="rId67" o:title=""/>
          </v:shape>
          <o:OLEObject Type="Embed" ProgID="Equation.DSMT4" ShapeID="_x0000_i1068" DrawAspect="Content" ObjectID="_1494402011" r:id="rId98"/>
        </w:object>
      </w:r>
      <w:r w:rsidRPr="003315E5">
        <w:rPr>
          <w:rFonts w:ascii="Arial" w:hAnsi="Arial" w:cs="Arial"/>
          <w:sz w:val="22"/>
          <w:szCs w:val="22"/>
        </w:rPr>
        <w:t xml:space="preserve"> </w:t>
      </w:r>
      <w:r w:rsidRPr="003315E5">
        <w:rPr>
          <w:rFonts w:ascii="Arial" w:hAnsi="Arial" w:cs="Arial"/>
          <w:sz w:val="22"/>
          <w:szCs w:val="22"/>
        </w:rPr>
        <w:tab/>
      </w:r>
      <w:r w:rsidRPr="003315E5">
        <w:rPr>
          <w:rFonts w:ascii="Arial" w:hAnsi="Arial" w:cs="Arial"/>
          <w:sz w:val="22"/>
          <w:szCs w:val="22"/>
        </w:rPr>
        <w:fldChar w:fldCharType="begin"/>
      </w:r>
      <w:r w:rsidRPr="003315E5">
        <w:rPr>
          <w:rFonts w:ascii="Arial" w:hAnsi="Arial" w:cs="Arial"/>
          <w:sz w:val="22"/>
          <w:szCs w:val="22"/>
        </w:rPr>
        <w:instrText xml:space="preserve"> MACROBUTTON MTPlaceRef \* MERGEFORMAT </w:instrText>
      </w:r>
      <w:r w:rsidRPr="003315E5">
        <w:rPr>
          <w:rFonts w:ascii="Arial" w:hAnsi="Arial" w:cs="Arial"/>
          <w:sz w:val="22"/>
          <w:szCs w:val="22"/>
        </w:rPr>
        <w:fldChar w:fldCharType="begin"/>
      </w:r>
      <w:r w:rsidRPr="003315E5">
        <w:rPr>
          <w:rFonts w:ascii="Arial" w:hAnsi="Arial" w:cs="Arial"/>
          <w:sz w:val="22"/>
          <w:szCs w:val="22"/>
        </w:rPr>
        <w:instrText xml:space="preserve"> SEQ MTEqn \h \* MERGEFORMAT </w:instrText>
      </w:r>
      <w:r w:rsidRPr="003315E5">
        <w:rPr>
          <w:rFonts w:ascii="Arial" w:hAnsi="Arial" w:cs="Arial"/>
          <w:sz w:val="22"/>
          <w:szCs w:val="22"/>
        </w:rPr>
        <w:fldChar w:fldCharType="end"/>
      </w:r>
      <w:r w:rsidRPr="003315E5">
        <w:rPr>
          <w:rFonts w:ascii="Arial" w:hAnsi="Arial" w:cs="Arial"/>
          <w:sz w:val="22"/>
          <w:szCs w:val="22"/>
        </w:rPr>
        <w:instrText>(</w:instrText>
      </w:r>
      <w:r w:rsidRPr="003315E5">
        <w:rPr>
          <w:rFonts w:ascii="Arial" w:hAnsi="Arial" w:cs="Arial"/>
          <w:sz w:val="22"/>
          <w:szCs w:val="22"/>
        </w:rPr>
        <w:fldChar w:fldCharType="begin"/>
      </w:r>
      <w:r w:rsidRPr="003315E5">
        <w:rPr>
          <w:rFonts w:ascii="Arial" w:hAnsi="Arial" w:cs="Arial"/>
          <w:sz w:val="22"/>
          <w:szCs w:val="22"/>
        </w:rPr>
        <w:instrText xml:space="preserve"> SEQ MTEqn \c \* Arabic \* MERGEFORMAT </w:instrText>
      </w:r>
      <w:r w:rsidRPr="003315E5">
        <w:rPr>
          <w:rFonts w:ascii="Arial" w:hAnsi="Arial" w:cs="Arial"/>
          <w:sz w:val="22"/>
          <w:szCs w:val="22"/>
        </w:rPr>
        <w:fldChar w:fldCharType="separate"/>
      </w:r>
      <w:r w:rsidRPr="003315E5">
        <w:rPr>
          <w:rFonts w:ascii="Arial" w:hAnsi="Arial" w:cs="Arial"/>
          <w:noProof/>
          <w:sz w:val="22"/>
          <w:szCs w:val="22"/>
        </w:rPr>
        <w:instrText>16</w:instrText>
      </w:r>
      <w:r w:rsidRPr="003315E5">
        <w:rPr>
          <w:rFonts w:ascii="Arial" w:hAnsi="Arial" w:cs="Arial"/>
          <w:noProof/>
          <w:sz w:val="22"/>
          <w:szCs w:val="22"/>
        </w:rPr>
        <w:fldChar w:fldCharType="end"/>
      </w:r>
      <w:r w:rsidRPr="003315E5">
        <w:rPr>
          <w:rFonts w:ascii="Arial" w:hAnsi="Arial" w:cs="Arial"/>
          <w:sz w:val="22"/>
          <w:szCs w:val="22"/>
        </w:rPr>
        <w:instrText>)</w:instrText>
      </w:r>
      <w:r w:rsidRPr="003315E5">
        <w:rPr>
          <w:rFonts w:ascii="Arial" w:hAnsi="Arial" w:cs="Arial"/>
          <w:sz w:val="22"/>
          <w:szCs w:val="22"/>
        </w:rPr>
        <w:fldChar w:fldCharType="end"/>
      </w:r>
    </w:p>
    <w:p w:rsidR="001418A2" w:rsidRPr="005F6B9B" w:rsidRDefault="00456B4E" w:rsidP="00456B4E">
      <w:pPr>
        <w:pStyle w:val="MTDisplayEquation"/>
      </w:pPr>
      <w:r w:rsidRPr="001C25C4">
        <w:tab/>
      </w:r>
      <w:r w:rsidRPr="001C25C4">
        <w:rPr>
          <w:position w:val="-88"/>
        </w:rPr>
        <w:object w:dxaOrig="1020" w:dyaOrig="1880">
          <v:shape id="_x0000_i1069" type="#_x0000_t75" style="width:51pt;height:93.75pt" o:ole="">
            <v:imagedata r:id="rId99" o:title=""/>
          </v:shape>
          <o:OLEObject Type="Embed" ProgID="Equation.DSMT4" ShapeID="_x0000_i1069" DrawAspect="Content" ObjectID="_1494402012" r:id="rId100"/>
        </w:object>
      </w:r>
      <w:r w:rsidRPr="001C25C4">
        <w:t xml:space="preserve"> </w:t>
      </w:r>
      <w:r w:rsidRPr="001C25C4">
        <w:tab/>
      </w:r>
      <w:r w:rsidRPr="001C25C4">
        <w:fldChar w:fldCharType="begin"/>
      </w:r>
      <w:r w:rsidRPr="001C25C4">
        <w:instrText xml:space="preserve"> MACROBUTTON MTPlaceRef \* MERGEFORMAT </w:instrText>
      </w:r>
      <w:r w:rsidRPr="001C25C4">
        <w:fldChar w:fldCharType="begin"/>
      </w:r>
      <w:r w:rsidRPr="001C25C4">
        <w:instrText xml:space="preserve"> SEQ MTEqn \h \* MERGEFORMAT </w:instrText>
      </w:r>
      <w:r w:rsidRPr="001C25C4">
        <w:fldChar w:fldCharType="end"/>
      </w:r>
      <w:r w:rsidRPr="001C25C4">
        <w:instrText>(</w:instrText>
      </w:r>
      <w:r w:rsidR="00E90138">
        <w:fldChar w:fldCharType="begin"/>
      </w:r>
      <w:r w:rsidR="00E90138">
        <w:instrText xml:space="preserve"> SEQ MTEqn \c \* Arabic \* MERGEFORMAT </w:instrText>
      </w:r>
      <w:r w:rsidR="00E90138">
        <w:fldChar w:fldCharType="separate"/>
      </w:r>
      <w:r>
        <w:rPr>
          <w:noProof/>
        </w:rPr>
        <w:instrText>17</w:instrText>
      </w:r>
      <w:r w:rsidR="00E90138">
        <w:rPr>
          <w:noProof/>
        </w:rPr>
        <w:fldChar w:fldCharType="end"/>
      </w:r>
      <w:r w:rsidRPr="001C25C4">
        <w:instrText>)</w:instrText>
      </w:r>
      <w:r w:rsidRPr="001C25C4">
        <w:fldChar w:fldCharType="end"/>
      </w:r>
    </w:p>
    <w:p w:rsidR="009C7064" w:rsidRDefault="009C7064"/>
    <w:sectPr w:rsidR="009C7064" w:rsidSect="00E84E83">
      <w:headerReference w:type="default" r:id="rId101"/>
      <w:footerReference w:type="even" r:id="rId102"/>
      <w:footerReference w:type="default" r:id="rId103"/>
      <w:headerReference w:type="first" r:id="rId104"/>
      <w:footerReference w:type="first" r:id="rId10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38" w:rsidRDefault="00E90138" w:rsidP="00090DAC">
      <w:pPr>
        <w:spacing w:after="0"/>
      </w:pPr>
      <w:r>
        <w:separator/>
      </w:r>
    </w:p>
  </w:endnote>
  <w:endnote w:type="continuationSeparator" w:id="0">
    <w:p w:rsidR="00E90138" w:rsidRDefault="00E90138" w:rsidP="00090D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FB" w:rsidRPr="00B22B24" w:rsidRDefault="00934249" w:rsidP="00183EF9">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FB" w:rsidRDefault="00934249" w:rsidP="00183EF9">
    <w:pPr>
      <w:pStyle w:val="Footer"/>
      <w:jc w:val="right"/>
    </w:pPr>
    <w:r>
      <w:fldChar w:fldCharType="begin"/>
    </w:r>
    <w:r>
      <w:instrText xml:space="preserve"> PAGE   \* MERGEFORMAT </w:instrText>
    </w:r>
    <w:r>
      <w:fldChar w:fldCharType="separate"/>
    </w:r>
    <w:r w:rsidR="00EB151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FB" w:rsidRDefault="00934249">
    <w:pPr>
      <w:pStyle w:val="Footer"/>
      <w:jc w:val="right"/>
    </w:pPr>
    <w:r>
      <w:fldChar w:fldCharType="begin"/>
    </w:r>
    <w:r>
      <w:instrText xml:space="preserve"> PAGE   \* MERGEFORMAT </w:instrText>
    </w:r>
    <w:r>
      <w:fldChar w:fldCharType="separate"/>
    </w:r>
    <w:r w:rsidR="00EB151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38" w:rsidRDefault="00E90138" w:rsidP="00090DAC">
      <w:pPr>
        <w:spacing w:after="0"/>
      </w:pPr>
      <w:r>
        <w:separator/>
      </w:r>
    </w:p>
  </w:footnote>
  <w:footnote w:type="continuationSeparator" w:id="0">
    <w:p w:rsidR="00E90138" w:rsidRDefault="00E90138" w:rsidP="00090D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FB" w:rsidRPr="00727E34" w:rsidRDefault="00090DAC" w:rsidP="00F61378">
    <w:pPr>
      <w:pStyle w:val="Headerstyle"/>
    </w:pPr>
    <w:r w:rsidRPr="00090DAC">
      <w:t>Calibrating Fundamental Diagram based on Two Types of Speed-Density Data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FB" w:rsidRPr="00F5019A" w:rsidRDefault="00934249" w:rsidP="00C402A4">
    <w:pPr>
      <w:pStyle w:val="Headerstyle"/>
    </w:pPr>
    <w:r w:rsidRPr="00F5019A">
      <w:t>Australasian Transport Research Forum 201</w:t>
    </w:r>
    <w:r>
      <w:t>5</w:t>
    </w:r>
    <w:r w:rsidRPr="00F5019A">
      <w:t xml:space="preserve"> Proceedings</w:t>
    </w:r>
  </w:p>
  <w:p w:rsidR="00D549FB" w:rsidRPr="00F5019A" w:rsidRDefault="00934249" w:rsidP="00C402A4">
    <w:pPr>
      <w:pStyle w:val="Headerstyle"/>
    </w:pPr>
    <w:r>
      <w:t>30 September - 2</w:t>
    </w:r>
    <w:r w:rsidRPr="00F5019A">
      <w:t xml:space="preserve"> </w:t>
    </w:r>
    <w:r>
      <w:t>Octo</w:t>
    </w:r>
    <w:r w:rsidRPr="00F5019A">
      <w:t>ber 201</w:t>
    </w:r>
    <w:r>
      <w:t>5</w:t>
    </w:r>
    <w:r w:rsidRPr="00F5019A">
      <w:t xml:space="preserve">, </w:t>
    </w:r>
    <w:r>
      <w:t>Sydney</w:t>
    </w:r>
    <w:r w:rsidRPr="00F5019A">
      <w:t>, Australia</w:t>
    </w:r>
  </w:p>
  <w:p w:rsidR="00D549FB" w:rsidRDefault="00934249" w:rsidP="00183EF9">
    <w:pPr>
      <w:pStyle w:val="Headerstyle"/>
    </w:pPr>
    <w:r w:rsidRPr="007B57FB">
      <w:t>Publication website: http://www.atrf.info/papers/index.aspx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082C"/>
    <w:multiLevelType w:val="hybridMultilevel"/>
    <w:tmpl w:val="57C6B7F2"/>
    <w:lvl w:ilvl="0" w:tplc="1CA2DD02">
      <w:start w:val="1"/>
      <w:numFmt w:val="bullet"/>
      <w:lvlText w:val=""/>
      <w:lvlJc w:val="left"/>
      <w:pPr>
        <w:tabs>
          <w:tab w:val="num" w:pos="720"/>
        </w:tabs>
        <w:ind w:left="720" w:hanging="49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B49439D"/>
    <w:multiLevelType w:val="hybridMultilevel"/>
    <w:tmpl w:val="3A46E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B6A62ED"/>
    <w:multiLevelType w:val="multilevel"/>
    <w:tmpl w:val="4C0E1E12"/>
    <w:lvl w:ilvl="0">
      <w:start w:val="1"/>
      <w:numFmt w:val="decimal"/>
      <w:lvlText w:val="%1"/>
      <w:lvlJc w:val="left"/>
      <w:pPr>
        <w:ind w:left="720" w:hanging="360"/>
      </w:pPr>
      <w:rPr>
        <w:rFonts w:hint="default"/>
      </w:rPr>
    </w:lvl>
    <w:lvl w:ilvl="1">
      <w:start w:val="1"/>
      <w:numFmt w:val="decimal"/>
      <w:pStyle w:val="Heading2Numbered"/>
      <w:isLgl/>
      <w:lvlText w:val="%1.%2"/>
      <w:lvlJc w:val="left"/>
      <w:pPr>
        <w:ind w:left="502" w:hanging="360"/>
      </w:pPr>
      <w:rPr>
        <w:rFonts w:hint="default"/>
      </w:rPr>
    </w:lvl>
    <w:lvl w:ilvl="2">
      <w:start w:val="1"/>
      <w:numFmt w:val="decimal"/>
      <w:isLgl/>
      <w:lvlText w:val="%1.%2.%3"/>
      <w:lvlJc w:val="left"/>
      <w:pPr>
        <w:ind w:left="1080" w:hanging="720"/>
      </w:pPr>
      <w:rPr>
        <w:rFonts w:hint="default"/>
        <w:lang w:val="en-U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A2"/>
    <w:rsid w:val="00063E77"/>
    <w:rsid w:val="00090DAC"/>
    <w:rsid w:val="001418A2"/>
    <w:rsid w:val="0015095E"/>
    <w:rsid w:val="001D19DD"/>
    <w:rsid w:val="001D1CCD"/>
    <w:rsid w:val="002713D9"/>
    <w:rsid w:val="00312B9A"/>
    <w:rsid w:val="00456B4E"/>
    <w:rsid w:val="006E7635"/>
    <w:rsid w:val="00727A30"/>
    <w:rsid w:val="00796B2B"/>
    <w:rsid w:val="00867AC6"/>
    <w:rsid w:val="00934249"/>
    <w:rsid w:val="009C7064"/>
    <w:rsid w:val="00B07B8C"/>
    <w:rsid w:val="00C50D2D"/>
    <w:rsid w:val="00CE58BA"/>
    <w:rsid w:val="00D81041"/>
    <w:rsid w:val="00E01EB4"/>
    <w:rsid w:val="00E02527"/>
    <w:rsid w:val="00E90138"/>
    <w:rsid w:val="00EB151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A2"/>
    <w:pPr>
      <w:spacing w:after="140" w:line="240" w:lineRule="auto"/>
      <w:jc w:val="both"/>
    </w:pPr>
    <w:rPr>
      <w:rFonts w:ascii="Arial" w:eastAsia="Calibri" w:hAnsi="Arial" w:cs="Times New Roman"/>
      <w:szCs w:val="20"/>
      <w:lang w:eastAsia="en-AU"/>
    </w:rPr>
  </w:style>
  <w:style w:type="paragraph" w:styleId="Heading1">
    <w:name w:val="heading 1"/>
    <w:basedOn w:val="Normal"/>
    <w:next w:val="Normal"/>
    <w:link w:val="Heading1Char"/>
    <w:uiPriority w:val="9"/>
    <w:qFormat/>
    <w:rsid w:val="001D19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19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18A2"/>
    <w:pPr>
      <w:tabs>
        <w:tab w:val="center" w:pos="4513"/>
        <w:tab w:val="right" w:pos="9026"/>
      </w:tabs>
      <w:spacing w:after="0"/>
    </w:pPr>
  </w:style>
  <w:style w:type="character" w:customStyle="1" w:styleId="FooterChar">
    <w:name w:val="Footer Char"/>
    <w:basedOn w:val="DefaultParagraphFont"/>
    <w:link w:val="Footer"/>
    <w:uiPriority w:val="99"/>
    <w:rsid w:val="001418A2"/>
    <w:rPr>
      <w:rFonts w:ascii="Arial" w:eastAsia="Calibri" w:hAnsi="Arial" w:cs="Times New Roman"/>
      <w:szCs w:val="20"/>
      <w:lang w:eastAsia="en-AU"/>
    </w:rPr>
  </w:style>
  <w:style w:type="paragraph" w:customStyle="1" w:styleId="PublicationTitle">
    <w:name w:val="Publication Title"/>
    <w:basedOn w:val="Normal"/>
    <w:next w:val="AuthorName"/>
    <w:link w:val="PublicationTitleChar"/>
    <w:qFormat/>
    <w:rsid w:val="001418A2"/>
    <w:pPr>
      <w:jc w:val="center"/>
    </w:pPr>
    <w:rPr>
      <w:b/>
      <w:sz w:val="32"/>
      <w:szCs w:val="32"/>
    </w:rPr>
  </w:style>
  <w:style w:type="paragraph" w:customStyle="1" w:styleId="AuthorName">
    <w:name w:val="Author Name"/>
    <w:basedOn w:val="Normal"/>
    <w:next w:val="AuthorAddress"/>
    <w:link w:val="AuthorNameChar"/>
    <w:qFormat/>
    <w:rsid w:val="001418A2"/>
    <w:pPr>
      <w:jc w:val="center"/>
    </w:pPr>
    <w:rPr>
      <w:szCs w:val="24"/>
    </w:rPr>
  </w:style>
  <w:style w:type="character" w:customStyle="1" w:styleId="PublicationTitleChar">
    <w:name w:val="Publication Title Char"/>
    <w:basedOn w:val="DefaultParagraphFont"/>
    <w:link w:val="PublicationTitle"/>
    <w:rsid w:val="001418A2"/>
    <w:rPr>
      <w:rFonts w:ascii="Arial" w:eastAsia="Calibri" w:hAnsi="Arial" w:cs="Times New Roman"/>
      <w:b/>
      <w:sz w:val="32"/>
      <w:szCs w:val="32"/>
      <w:lang w:eastAsia="en-AU"/>
    </w:rPr>
  </w:style>
  <w:style w:type="character" w:customStyle="1" w:styleId="AuthorNameChar">
    <w:name w:val="Author Name Char"/>
    <w:basedOn w:val="DefaultParagraphFont"/>
    <w:link w:val="AuthorName"/>
    <w:rsid w:val="001418A2"/>
    <w:rPr>
      <w:rFonts w:ascii="Arial" w:eastAsia="Calibri" w:hAnsi="Arial" w:cs="Times New Roman"/>
      <w:szCs w:val="24"/>
      <w:lang w:eastAsia="en-AU"/>
    </w:rPr>
  </w:style>
  <w:style w:type="paragraph" w:customStyle="1" w:styleId="AuthorAddress">
    <w:name w:val="Author Address"/>
    <w:basedOn w:val="Normal"/>
    <w:link w:val="AuthorAddressChar"/>
    <w:qFormat/>
    <w:rsid w:val="001418A2"/>
    <w:pPr>
      <w:jc w:val="center"/>
    </w:pPr>
    <w:rPr>
      <w:sz w:val="20"/>
    </w:rPr>
  </w:style>
  <w:style w:type="character" w:customStyle="1" w:styleId="AuthorAddressChar">
    <w:name w:val="Author Address Char"/>
    <w:basedOn w:val="DefaultParagraphFont"/>
    <w:link w:val="AuthorAddress"/>
    <w:rsid w:val="001418A2"/>
    <w:rPr>
      <w:rFonts w:ascii="Arial" w:eastAsia="Calibri" w:hAnsi="Arial" w:cs="Times New Roman"/>
      <w:sz w:val="20"/>
      <w:szCs w:val="20"/>
      <w:lang w:eastAsia="en-AU"/>
    </w:rPr>
  </w:style>
  <w:style w:type="paragraph" w:customStyle="1" w:styleId="AbstractTitle">
    <w:name w:val="Abstract Title"/>
    <w:basedOn w:val="Normal"/>
    <w:next w:val="Normal"/>
    <w:link w:val="AbstractTitleChar"/>
    <w:qFormat/>
    <w:rsid w:val="001418A2"/>
    <w:pPr>
      <w:spacing w:before="240"/>
      <w:jc w:val="center"/>
    </w:pPr>
    <w:rPr>
      <w:b/>
      <w:sz w:val="28"/>
      <w:szCs w:val="28"/>
    </w:rPr>
  </w:style>
  <w:style w:type="character" w:customStyle="1" w:styleId="AbstractTitleChar">
    <w:name w:val="Abstract Title Char"/>
    <w:basedOn w:val="DefaultParagraphFont"/>
    <w:link w:val="AbstractTitle"/>
    <w:rsid w:val="001418A2"/>
    <w:rPr>
      <w:rFonts w:ascii="Arial" w:eastAsia="Calibri" w:hAnsi="Arial" w:cs="Times New Roman"/>
      <w:b/>
      <w:sz w:val="28"/>
      <w:szCs w:val="28"/>
      <w:lang w:eastAsia="en-AU"/>
    </w:rPr>
  </w:style>
  <w:style w:type="paragraph" w:customStyle="1" w:styleId="SectionHeadingLevel1">
    <w:name w:val="Section Heading Level 1"/>
    <w:basedOn w:val="AbstractTitle"/>
    <w:next w:val="Normal"/>
    <w:link w:val="SectionHeadingLevel1Char"/>
    <w:qFormat/>
    <w:rsid w:val="001418A2"/>
    <w:pPr>
      <w:spacing w:before="200"/>
      <w:jc w:val="left"/>
    </w:pPr>
  </w:style>
  <w:style w:type="character" w:customStyle="1" w:styleId="SectionHeadingLevel1Char">
    <w:name w:val="Section Heading Level 1 Char"/>
    <w:basedOn w:val="AbstractTitleChar"/>
    <w:link w:val="SectionHeadingLevel1"/>
    <w:rsid w:val="001418A2"/>
    <w:rPr>
      <w:rFonts w:ascii="Arial" w:eastAsia="Calibri" w:hAnsi="Arial" w:cs="Times New Roman"/>
      <w:b/>
      <w:sz w:val="28"/>
      <w:szCs w:val="28"/>
      <w:lang w:eastAsia="en-AU"/>
    </w:rPr>
  </w:style>
  <w:style w:type="paragraph" w:customStyle="1" w:styleId="SectionHeadingLevel2">
    <w:name w:val="Section Heading Level 2"/>
    <w:basedOn w:val="Normal"/>
    <w:next w:val="Normal"/>
    <w:link w:val="SectionHeadingLevel2Char"/>
    <w:qFormat/>
    <w:rsid w:val="001418A2"/>
    <w:pPr>
      <w:spacing w:before="200"/>
      <w:ind w:left="720" w:hanging="720"/>
      <w:jc w:val="left"/>
    </w:pPr>
    <w:rPr>
      <w:b/>
      <w:sz w:val="24"/>
      <w:szCs w:val="24"/>
    </w:rPr>
  </w:style>
  <w:style w:type="character" w:customStyle="1" w:styleId="SectionHeadingLevel2Char">
    <w:name w:val="Section Heading Level 2 Char"/>
    <w:basedOn w:val="DefaultParagraphFont"/>
    <w:link w:val="SectionHeadingLevel2"/>
    <w:rsid w:val="001418A2"/>
    <w:rPr>
      <w:rFonts w:ascii="Arial" w:eastAsia="Calibri" w:hAnsi="Arial" w:cs="Times New Roman"/>
      <w:b/>
      <w:sz w:val="24"/>
      <w:szCs w:val="24"/>
      <w:lang w:eastAsia="en-AU"/>
    </w:rPr>
  </w:style>
  <w:style w:type="paragraph" w:customStyle="1" w:styleId="SectionHeadingLevel3">
    <w:name w:val="Section Heading Level 3"/>
    <w:basedOn w:val="Normal"/>
    <w:next w:val="Normal"/>
    <w:link w:val="SectionHeadingLevel3Char"/>
    <w:qFormat/>
    <w:rsid w:val="001418A2"/>
    <w:pPr>
      <w:spacing w:before="240"/>
      <w:jc w:val="left"/>
    </w:pPr>
    <w:rPr>
      <w:b/>
      <w:i/>
      <w:szCs w:val="22"/>
    </w:rPr>
  </w:style>
  <w:style w:type="character" w:customStyle="1" w:styleId="SectionHeadingLevel3Char">
    <w:name w:val="Section Heading Level 3 Char"/>
    <w:basedOn w:val="DefaultParagraphFont"/>
    <w:link w:val="SectionHeadingLevel3"/>
    <w:rsid w:val="001418A2"/>
    <w:rPr>
      <w:rFonts w:ascii="Arial" w:eastAsia="Calibri" w:hAnsi="Arial" w:cs="Times New Roman"/>
      <w:b/>
      <w:i/>
      <w:lang w:eastAsia="en-AU"/>
    </w:rPr>
  </w:style>
  <w:style w:type="paragraph" w:customStyle="1" w:styleId="Captionstyle">
    <w:name w:val="Caption style"/>
    <w:basedOn w:val="Normal"/>
    <w:link w:val="CaptionstyleChar"/>
    <w:qFormat/>
    <w:rsid w:val="001418A2"/>
    <w:pPr>
      <w:jc w:val="left"/>
    </w:pPr>
    <w:rPr>
      <w:b/>
      <w:sz w:val="20"/>
    </w:rPr>
  </w:style>
  <w:style w:type="character" w:customStyle="1" w:styleId="CaptionstyleChar">
    <w:name w:val="Caption style Char"/>
    <w:basedOn w:val="DefaultParagraphFont"/>
    <w:link w:val="Captionstyle"/>
    <w:rsid w:val="001418A2"/>
    <w:rPr>
      <w:rFonts w:ascii="Arial" w:eastAsia="Calibri" w:hAnsi="Arial" w:cs="Times New Roman"/>
      <w:b/>
      <w:sz w:val="20"/>
      <w:szCs w:val="20"/>
      <w:lang w:eastAsia="en-AU"/>
    </w:rPr>
  </w:style>
  <w:style w:type="paragraph" w:customStyle="1" w:styleId="Headerstyle">
    <w:name w:val="Header style"/>
    <w:basedOn w:val="Header"/>
    <w:link w:val="HeaderstyleChar"/>
    <w:qFormat/>
    <w:rsid w:val="001418A2"/>
    <w:pPr>
      <w:jc w:val="center"/>
    </w:pPr>
    <w:rPr>
      <w:sz w:val="20"/>
    </w:rPr>
  </w:style>
  <w:style w:type="character" w:customStyle="1" w:styleId="HeaderstyleChar">
    <w:name w:val="Header style Char"/>
    <w:basedOn w:val="HeaderChar"/>
    <w:link w:val="Headerstyle"/>
    <w:rsid w:val="001418A2"/>
    <w:rPr>
      <w:rFonts w:ascii="Arial" w:eastAsia="Calibri" w:hAnsi="Arial" w:cs="Times New Roman"/>
      <w:sz w:val="20"/>
      <w:szCs w:val="20"/>
      <w:lang w:eastAsia="en-AU"/>
    </w:rPr>
  </w:style>
  <w:style w:type="paragraph" w:styleId="Header">
    <w:name w:val="header"/>
    <w:basedOn w:val="Normal"/>
    <w:link w:val="HeaderChar"/>
    <w:uiPriority w:val="99"/>
    <w:unhideWhenUsed/>
    <w:rsid w:val="001418A2"/>
    <w:pPr>
      <w:tabs>
        <w:tab w:val="center" w:pos="4513"/>
        <w:tab w:val="right" w:pos="9026"/>
      </w:tabs>
      <w:spacing w:after="0"/>
    </w:pPr>
  </w:style>
  <w:style w:type="character" w:customStyle="1" w:styleId="HeaderChar">
    <w:name w:val="Header Char"/>
    <w:basedOn w:val="DefaultParagraphFont"/>
    <w:link w:val="Header"/>
    <w:uiPriority w:val="99"/>
    <w:rsid w:val="001418A2"/>
    <w:rPr>
      <w:rFonts w:ascii="Arial" w:eastAsia="Calibri" w:hAnsi="Arial" w:cs="Times New Roman"/>
      <w:szCs w:val="20"/>
      <w:lang w:eastAsia="en-AU"/>
    </w:rPr>
  </w:style>
  <w:style w:type="paragraph" w:styleId="BalloonText">
    <w:name w:val="Balloon Text"/>
    <w:basedOn w:val="Normal"/>
    <w:link w:val="BalloonTextChar"/>
    <w:uiPriority w:val="99"/>
    <w:semiHidden/>
    <w:unhideWhenUsed/>
    <w:rsid w:val="001418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A2"/>
    <w:rPr>
      <w:rFonts w:ascii="Tahoma" w:eastAsia="Calibri" w:hAnsi="Tahoma" w:cs="Tahoma"/>
      <w:sz w:val="16"/>
      <w:szCs w:val="16"/>
      <w:lang w:eastAsia="en-AU"/>
    </w:rPr>
  </w:style>
  <w:style w:type="character" w:styleId="PlaceholderText">
    <w:name w:val="Placeholder Text"/>
    <w:basedOn w:val="DefaultParagraphFont"/>
    <w:uiPriority w:val="99"/>
    <w:semiHidden/>
    <w:rsid w:val="00090DAC"/>
    <w:rPr>
      <w:color w:val="808080"/>
    </w:rPr>
  </w:style>
  <w:style w:type="paragraph" w:customStyle="1" w:styleId="MTDisplayEquation">
    <w:name w:val="MTDisplayEquation"/>
    <w:basedOn w:val="Normal"/>
    <w:next w:val="Normal"/>
    <w:link w:val="MTDisplayEquationChar"/>
    <w:rsid w:val="00CE58BA"/>
    <w:pPr>
      <w:tabs>
        <w:tab w:val="center" w:pos="4520"/>
        <w:tab w:val="right" w:pos="9020"/>
      </w:tabs>
      <w:spacing w:after="0" w:line="480" w:lineRule="auto"/>
    </w:pPr>
    <w:rPr>
      <w:rFonts w:ascii="Times New Roman" w:eastAsia="MS Mincho" w:hAnsi="Times New Roman"/>
      <w:sz w:val="24"/>
      <w:szCs w:val="24"/>
      <w:lang w:eastAsia="ja-JP"/>
    </w:rPr>
  </w:style>
  <w:style w:type="character" w:customStyle="1" w:styleId="MTDisplayEquationChar">
    <w:name w:val="MTDisplayEquation Char"/>
    <w:link w:val="MTDisplayEquation"/>
    <w:rsid w:val="00CE58BA"/>
    <w:rPr>
      <w:rFonts w:ascii="Times New Roman" w:eastAsia="MS Mincho" w:hAnsi="Times New Roman" w:cs="Times New Roman"/>
      <w:sz w:val="24"/>
      <w:szCs w:val="24"/>
      <w:lang w:eastAsia="ja-JP"/>
    </w:rPr>
  </w:style>
  <w:style w:type="character" w:styleId="Strong">
    <w:name w:val="Strong"/>
    <w:qFormat/>
    <w:rsid w:val="001D19DD"/>
    <w:rPr>
      <w:b/>
      <w:bCs/>
    </w:rPr>
  </w:style>
  <w:style w:type="table" w:customStyle="1" w:styleId="1">
    <w:name w:val="浅色底纹1"/>
    <w:basedOn w:val="TableNormal"/>
    <w:uiPriority w:val="60"/>
    <w:rsid w:val="001D19DD"/>
    <w:pPr>
      <w:spacing w:after="0" w:line="240" w:lineRule="auto"/>
    </w:pPr>
    <w:rPr>
      <w:rFonts w:ascii="Calibri" w:eastAsia="SimSu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uiPriority w:val="9"/>
    <w:rsid w:val="001D19DD"/>
    <w:rPr>
      <w:rFonts w:asciiTheme="majorHAnsi" w:eastAsiaTheme="majorEastAsia" w:hAnsiTheme="majorHAnsi" w:cstheme="majorBidi"/>
      <w:b/>
      <w:bCs/>
      <w:color w:val="365F91" w:themeColor="accent1" w:themeShade="BF"/>
      <w:sz w:val="28"/>
      <w:szCs w:val="28"/>
      <w:lang w:eastAsia="en-AU"/>
    </w:rPr>
  </w:style>
  <w:style w:type="paragraph" w:customStyle="1" w:styleId="Heading2Numbered">
    <w:name w:val="Heading 2 Numbered"/>
    <w:basedOn w:val="Heading2"/>
    <w:autoRedefine/>
    <w:rsid w:val="001D19DD"/>
    <w:pPr>
      <w:keepLines w:val="0"/>
      <w:numPr>
        <w:ilvl w:val="1"/>
        <w:numId w:val="3"/>
      </w:numPr>
      <w:tabs>
        <w:tab w:val="num" w:pos="360"/>
      </w:tabs>
      <w:spacing w:before="0" w:line="360" w:lineRule="auto"/>
      <w:ind w:left="0" w:hanging="502"/>
      <w:jc w:val="left"/>
    </w:pPr>
    <w:rPr>
      <w:rFonts w:ascii="Times New Roman" w:eastAsia="SimSun" w:hAnsi="Times New Roman" w:cs="Arial"/>
      <w:iCs/>
      <w:color w:val="auto"/>
      <w:sz w:val="24"/>
      <w:szCs w:val="24"/>
      <w:lang w:val="en-US" w:eastAsia="en-US"/>
    </w:rPr>
  </w:style>
  <w:style w:type="character" w:customStyle="1" w:styleId="Heading2Char">
    <w:name w:val="Heading 2 Char"/>
    <w:basedOn w:val="DefaultParagraphFont"/>
    <w:link w:val="Heading2"/>
    <w:uiPriority w:val="9"/>
    <w:semiHidden/>
    <w:rsid w:val="001D19DD"/>
    <w:rPr>
      <w:rFonts w:asciiTheme="majorHAnsi" w:eastAsiaTheme="majorEastAsia" w:hAnsiTheme="majorHAnsi" w:cstheme="majorBidi"/>
      <w:b/>
      <w:bCs/>
      <w:color w:val="4F81BD" w:themeColor="accent1"/>
      <w:sz w:val="26"/>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A2"/>
    <w:pPr>
      <w:spacing w:after="140" w:line="240" w:lineRule="auto"/>
      <w:jc w:val="both"/>
    </w:pPr>
    <w:rPr>
      <w:rFonts w:ascii="Arial" w:eastAsia="Calibri" w:hAnsi="Arial" w:cs="Times New Roman"/>
      <w:szCs w:val="20"/>
      <w:lang w:eastAsia="en-AU"/>
    </w:rPr>
  </w:style>
  <w:style w:type="paragraph" w:styleId="Heading1">
    <w:name w:val="heading 1"/>
    <w:basedOn w:val="Normal"/>
    <w:next w:val="Normal"/>
    <w:link w:val="Heading1Char"/>
    <w:uiPriority w:val="9"/>
    <w:qFormat/>
    <w:rsid w:val="001D19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19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18A2"/>
    <w:pPr>
      <w:tabs>
        <w:tab w:val="center" w:pos="4513"/>
        <w:tab w:val="right" w:pos="9026"/>
      </w:tabs>
      <w:spacing w:after="0"/>
    </w:pPr>
  </w:style>
  <w:style w:type="character" w:customStyle="1" w:styleId="FooterChar">
    <w:name w:val="Footer Char"/>
    <w:basedOn w:val="DefaultParagraphFont"/>
    <w:link w:val="Footer"/>
    <w:uiPriority w:val="99"/>
    <w:rsid w:val="001418A2"/>
    <w:rPr>
      <w:rFonts w:ascii="Arial" w:eastAsia="Calibri" w:hAnsi="Arial" w:cs="Times New Roman"/>
      <w:szCs w:val="20"/>
      <w:lang w:eastAsia="en-AU"/>
    </w:rPr>
  </w:style>
  <w:style w:type="paragraph" w:customStyle="1" w:styleId="PublicationTitle">
    <w:name w:val="Publication Title"/>
    <w:basedOn w:val="Normal"/>
    <w:next w:val="AuthorName"/>
    <w:link w:val="PublicationTitleChar"/>
    <w:qFormat/>
    <w:rsid w:val="001418A2"/>
    <w:pPr>
      <w:jc w:val="center"/>
    </w:pPr>
    <w:rPr>
      <w:b/>
      <w:sz w:val="32"/>
      <w:szCs w:val="32"/>
    </w:rPr>
  </w:style>
  <w:style w:type="paragraph" w:customStyle="1" w:styleId="AuthorName">
    <w:name w:val="Author Name"/>
    <w:basedOn w:val="Normal"/>
    <w:next w:val="AuthorAddress"/>
    <w:link w:val="AuthorNameChar"/>
    <w:qFormat/>
    <w:rsid w:val="001418A2"/>
    <w:pPr>
      <w:jc w:val="center"/>
    </w:pPr>
    <w:rPr>
      <w:szCs w:val="24"/>
    </w:rPr>
  </w:style>
  <w:style w:type="character" w:customStyle="1" w:styleId="PublicationTitleChar">
    <w:name w:val="Publication Title Char"/>
    <w:basedOn w:val="DefaultParagraphFont"/>
    <w:link w:val="PublicationTitle"/>
    <w:rsid w:val="001418A2"/>
    <w:rPr>
      <w:rFonts w:ascii="Arial" w:eastAsia="Calibri" w:hAnsi="Arial" w:cs="Times New Roman"/>
      <w:b/>
      <w:sz w:val="32"/>
      <w:szCs w:val="32"/>
      <w:lang w:eastAsia="en-AU"/>
    </w:rPr>
  </w:style>
  <w:style w:type="character" w:customStyle="1" w:styleId="AuthorNameChar">
    <w:name w:val="Author Name Char"/>
    <w:basedOn w:val="DefaultParagraphFont"/>
    <w:link w:val="AuthorName"/>
    <w:rsid w:val="001418A2"/>
    <w:rPr>
      <w:rFonts w:ascii="Arial" w:eastAsia="Calibri" w:hAnsi="Arial" w:cs="Times New Roman"/>
      <w:szCs w:val="24"/>
      <w:lang w:eastAsia="en-AU"/>
    </w:rPr>
  </w:style>
  <w:style w:type="paragraph" w:customStyle="1" w:styleId="AuthorAddress">
    <w:name w:val="Author Address"/>
    <w:basedOn w:val="Normal"/>
    <w:link w:val="AuthorAddressChar"/>
    <w:qFormat/>
    <w:rsid w:val="001418A2"/>
    <w:pPr>
      <w:jc w:val="center"/>
    </w:pPr>
    <w:rPr>
      <w:sz w:val="20"/>
    </w:rPr>
  </w:style>
  <w:style w:type="character" w:customStyle="1" w:styleId="AuthorAddressChar">
    <w:name w:val="Author Address Char"/>
    <w:basedOn w:val="DefaultParagraphFont"/>
    <w:link w:val="AuthorAddress"/>
    <w:rsid w:val="001418A2"/>
    <w:rPr>
      <w:rFonts w:ascii="Arial" w:eastAsia="Calibri" w:hAnsi="Arial" w:cs="Times New Roman"/>
      <w:sz w:val="20"/>
      <w:szCs w:val="20"/>
      <w:lang w:eastAsia="en-AU"/>
    </w:rPr>
  </w:style>
  <w:style w:type="paragraph" w:customStyle="1" w:styleId="AbstractTitle">
    <w:name w:val="Abstract Title"/>
    <w:basedOn w:val="Normal"/>
    <w:next w:val="Normal"/>
    <w:link w:val="AbstractTitleChar"/>
    <w:qFormat/>
    <w:rsid w:val="001418A2"/>
    <w:pPr>
      <w:spacing w:before="240"/>
      <w:jc w:val="center"/>
    </w:pPr>
    <w:rPr>
      <w:b/>
      <w:sz w:val="28"/>
      <w:szCs w:val="28"/>
    </w:rPr>
  </w:style>
  <w:style w:type="character" w:customStyle="1" w:styleId="AbstractTitleChar">
    <w:name w:val="Abstract Title Char"/>
    <w:basedOn w:val="DefaultParagraphFont"/>
    <w:link w:val="AbstractTitle"/>
    <w:rsid w:val="001418A2"/>
    <w:rPr>
      <w:rFonts w:ascii="Arial" w:eastAsia="Calibri" w:hAnsi="Arial" w:cs="Times New Roman"/>
      <w:b/>
      <w:sz w:val="28"/>
      <w:szCs w:val="28"/>
      <w:lang w:eastAsia="en-AU"/>
    </w:rPr>
  </w:style>
  <w:style w:type="paragraph" w:customStyle="1" w:styleId="SectionHeadingLevel1">
    <w:name w:val="Section Heading Level 1"/>
    <w:basedOn w:val="AbstractTitle"/>
    <w:next w:val="Normal"/>
    <w:link w:val="SectionHeadingLevel1Char"/>
    <w:qFormat/>
    <w:rsid w:val="001418A2"/>
    <w:pPr>
      <w:spacing w:before="200"/>
      <w:jc w:val="left"/>
    </w:pPr>
  </w:style>
  <w:style w:type="character" w:customStyle="1" w:styleId="SectionHeadingLevel1Char">
    <w:name w:val="Section Heading Level 1 Char"/>
    <w:basedOn w:val="AbstractTitleChar"/>
    <w:link w:val="SectionHeadingLevel1"/>
    <w:rsid w:val="001418A2"/>
    <w:rPr>
      <w:rFonts w:ascii="Arial" w:eastAsia="Calibri" w:hAnsi="Arial" w:cs="Times New Roman"/>
      <w:b/>
      <w:sz w:val="28"/>
      <w:szCs w:val="28"/>
      <w:lang w:eastAsia="en-AU"/>
    </w:rPr>
  </w:style>
  <w:style w:type="paragraph" w:customStyle="1" w:styleId="SectionHeadingLevel2">
    <w:name w:val="Section Heading Level 2"/>
    <w:basedOn w:val="Normal"/>
    <w:next w:val="Normal"/>
    <w:link w:val="SectionHeadingLevel2Char"/>
    <w:qFormat/>
    <w:rsid w:val="001418A2"/>
    <w:pPr>
      <w:spacing w:before="200"/>
      <w:ind w:left="720" w:hanging="720"/>
      <w:jc w:val="left"/>
    </w:pPr>
    <w:rPr>
      <w:b/>
      <w:sz w:val="24"/>
      <w:szCs w:val="24"/>
    </w:rPr>
  </w:style>
  <w:style w:type="character" w:customStyle="1" w:styleId="SectionHeadingLevel2Char">
    <w:name w:val="Section Heading Level 2 Char"/>
    <w:basedOn w:val="DefaultParagraphFont"/>
    <w:link w:val="SectionHeadingLevel2"/>
    <w:rsid w:val="001418A2"/>
    <w:rPr>
      <w:rFonts w:ascii="Arial" w:eastAsia="Calibri" w:hAnsi="Arial" w:cs="Times New Roman"/>
      <w:b/>
      <w:sz w:val="24"/>
      <w:szCs w:val="24"/>
      <w:lang w:eastAsia="en-AU"/>
    </w:rPr>
  </w:style>
  <w:style w:type="paragraph" w:customStyle="1" w:styleId="SectionHeadingLevel3">
    <w:name w:val="Section Heading Level 3"/>
    <w:basedOn w:val="Normal"/>
    <w:next w:val="Normal"/>
    <w:link w:val="SectionHeadingLevel3Char"/>
    <w:qFormat/>
    <w:rsid w:val="001418A2"/>
    <w:pPr>
      <w:spacing w:before="240"/>
      <w:jc w:val="left"/>
    </w:pPr>
    <w:rPr>
      <w:b/>
      <w:i/>
      <w:szCs w:val="22"/>
    </w:rPr>
  </w:style>
  <w:style w:type="character" w:customStyle="1" w:styleId="SectionHeadingLevel3Char">
    <w:name w:val="Section Heading Level 3 Char"/>
    <w:basedOn w:val="DefaultParagraphFont"/>
    <w:link w:val="SectionHeadingLevel3"/>
    <w:rsid w:val="001418A2"/>
    <w:rPr>
      <w:rFonts w:ascii="Arial" w:eastAsia="Calibri" w:hAnsi="Arial" w:cs="Times New Roman"/>
      <w:b/>
      <w:i/>
      <w:lang w:eastAsia="en-AU"/>
    </w:rPr>
  </w:style>
  <w:style w:type="paragraph" w:customStyle="1" w:styleId="Captionstyle">
    <w:name w:val="Caption style"/>
    <w:basedOn w:val="Normal"/>
    <w:link w:val="CaptionstyleChar"/>
    <w:qFormat/>
    <w:rsid w:val="001418A2"/>
    <w:pPr>
      <w:jc w:val="left"/>
    </w:pPr>
    <w:rPr>
      <w:b/>
      <w:sz w:val="20"/>
    </w:rPr>
  </w:style>
  <w:style w:type="character" w:customStyle="1" w:styleId="CaptionstyleChar">
    <w:name w:val="Caption style Char"/>
    <w:basedOn w:val="DefaultParagraphFont"/>
    <w:link w:val="Captionstyle"/>
    <w:rsid w:val="001418A2"/>
    <w:rPr>
      <w:rFonts w:ascii="Arial" w:eastAsia="Calibri" w:hAnsi="Arial" w:cs="Times New Roman"/>
      <w:b/>
      <w:sz w:val="20"/>
      <w:szCs w:val="20"/>
      <w:lang w:eastAsia="en-AU"/>
    </w:rPr>
  </w:style>
  <w:style w:type="paragraph" w:customStyle="1" w:styleId="Headerstyle">
    <w:name w:val="Header style"/>
    <w:basedOn w:val="Header"/>
    <w:link w:val="HeaderstyleChar"/>
    <w:qFormat/>
    <w:rsid w:val="001418A2"/>
    <w:pPr>
      <w:jc w:val="center"/>
    </w:pPr>
    <w:rPr>
      <w:sz w:val="20"/>
    </w:rPr>
  </w:style>
  <w:style w:type="character" w:customStyle="1" w:styleId="HeaderstyleChar">
    <w:name w:val="Header style Char"/>
    <w:basedOn w:val="HeaderChar"/>
    <w:link w:val="Headerstyle"/>
    <w:rsid w:val="001418A2"/>
    <w:rPr>
      <w:rFonts w:ascii="Arial" w:eastAsia="Calibri" w:hAnsi="Arial" w:cs="Times New Roman"/>
      <w:sz w:val="20"/>
      <w:szCs w:val="20"/>
      <w:lang w:eastAsia="en-AU"/>
    </w:rPr>
  </w:style>
  <w:style w:type="paragraph" w:styleId="Header">
    <w:name w:val="header"/>
    <w:basedOn w:val="Normal"/>
    <w:link w:val="HeaderChar"/>
    <w:uiPriority w:val="99"/>
    <w:unhideWhenUsed/>
    <w:rsid w:val="001418A2"/>
    <w:pPr>
      <w:tabs>
        <w:tab w:val="center" w:pos="4513"/>
        <w:tab w:val="right" w:pos="9026"/>
      </w:tabs>
      <w:spacing w:after="0"/>
    </w:pPr>
  </w:style>
  <w:style w:type="character" w:customStyle="1" w:styleId="HeaderChar">
    <w:name w:val="Header Char"/>
    <w:basedOn w:val="DefaultParagraphFont"/>
    <w:link w:val="Header"/>
    <w:uiPriority w:val="99"/>
    <w:rsid w:val="001418A2"/>
    <w:rPr>
      <w:rFonts w:ascii="Arial" w:eastAsia="Calibri" w:hAnsi="Arial" w:cs="Times New Roman"/>
      <w:szCs w:val="20"/>
      <w:lang w:eastAsia="en-AU"/>
    </w:rPr>
  </w:style>
  <w:style w:type="paragraph" w:styleId="BalloonText">
    <w:name w:val="Balloon Text"/>
    <w:basedOn w:val="Normal"/>
    <w:link w:val="BalloonTextChar"/>
    <w:uiPriority w:val="99"/>
    <w:semiHidden/>
    <w:unhideWhenUsed/>
    <w:rsid w:val="001418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A2"/>
    <w:rPr>
      <w:rFonts w:ascii="Tahoma" w:eastAsia="Calibri" w:hAnsi="Tahoma" w:cs="Tahoma"/>
      <w:sz w:val="16"/>
      <w:szCs w:val="16"/>
      <w:lang w:eastAsia="en-AU"/>
    </w:rPr>
  </w:style>
  <w:style w:type="character" w:styleId="PlaceholderText">
    <w:name w:val="Placeholder Text"/>
    <w:basedOn w:val="DefaultParagraphFont"/>
    <w:uiPriority w:val="99"/>
    <w:semiHidden/>
    <w:rsid w:val="00090DAC"/>
    <w:rPr>
      <w:color w:val="808080"/>
    </w:rPr>
  </w:style>
  <w:style w:type="paragraph" w:customStyle="1" w:styleId="MTDisplayEquation">
    <w:name w:val="MTDisplayEquation"/>
    <w:basedOn w:val="Normal"/>
    <w:next w:val="Normal"/>
    <w:link w:val="MTDisplayEquationChar"/>
    <w:rsid w:val="00CE58BA"/>
    <w:pPr>
      <w:tabs>
        <w:tab w:val="center" w:pos="4520"/>
        <w:tab w:val="right" w:pos="9020"/>
      </w:tabs>
      <w:spacing w:after="0" w:line="480" w:lineRule="auto"/>
    </w:pPr>
    <w:rPr>
      <w:rFonts w:ascii="Times New Roman" w:eastAsia="MS Mincho" w:hAnsi="Times New Roman"/>
      <w:sz w:val="24"/>
      <w:szCs w:val="24"/>
      <w:lang w:eastAsia="ja-JP"/>
    </w:rPr>
  </w:style>
  <w:style w:type="character" w:customStyle="1" w:styleId="MTDisplayEquationChar">
    <w:name w:val="MTDisplayEquation Char"/>
    <w:link w:val="MTDisplayEquation"/>
    <w:rsid w:val="00CE58BA"/>
    <w:rPr>
      <w:rFonts w:ascii="Times New Roman" w:eastAsia="MS Mincho" w:hAnsi="Times New Roman" w:cs="Times New Roman"/>
      <w:sz w:val="24"/>
      <w:szCs w:val="24"/>
      <w:lang w:eastAsia="ja-JP"/>
    </w:rPr>
  </w:style>
  <w:style w:type="character" w:styleId="Strong">
    <w:name w:val="Strong"/>
    <w:qFormat/>
    <w:rsid w:val="001D19DD"/>
    <w:rPr>
      <w:b/>
      <w:bCs/>
    </w:rPr>
  </w:style>
  <w:style w:type="table" w:customStyle="1" w:styleId="1">
    <w:name w:val="浅色底纹1"/>
    <w:basedOn w:val="TableNormal"/>
    <w:uiPriority w:val="60"/>
    <w:rsid w:val="001D19DD"/>
    <w:pPr>
      <w:spacing w:after="0" w:line="240" w:lineRule="auto"/>
    </w:pPr>
    <w:rPr>
      <w:rFonts w:ascii="Calibri" w:eastAsia="SimSu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uiPriority w:val="9"/>
    <w:rsid w:val="001D19DD"/>
    <w:rPr>
      <w:rFonts w:asciiTheme="majorHAnsi" w:eastAsiaTheme="majorEastAsia" w:hAnsiTheme="majorHAnsi" w:cstheme="majorBidi"/>
      <w:b/>
      <w:bCs/>
      <w:color w:val="365F91" w:themeColor="accent1" w:themeShade="BF"/>
      <w:sz w:val="28"/>
      <w:szCs w:val="28"/>
      <w:lang w:eastAsia="en-AU"/>
    </w:rPr>
  </w:style>
  <w:style w:type="paragraph" w:customStyle="1" w:styleId="Heading2Numbered">
    <w:name w:val="Heading 2 Numbered"/>
    <w:basedOn w:val="Heading2"/>
    <w:autoRedefine/>
    <w:rsid w:val="001D19DD"/>
    <w:pPr>
      <w:keepLines w:val="0"/>
      <w:numPr>
        <w:ilvl w:val="1"/>
        <w:numId w:val="3"/>
      </w:numPr>
      <w:tabs>
        <w:tab w:val="num" w:pos="360"/>
      </w:tabs>
      <w:spacing w:before="0" w:line="360" w:lineRule="auto"/>
      <w:ind w:left="0" w:hanging="502"/>
      <w:jc w:val="left"/>
    </w:pPr>
    <w:rPr>
      <w:rFonts w:ascii="Times New Roman" w:eastAsia="SimSun" w:hAnsi="Times New Roman" w:cs="Arial"/>
      <w:iCs/>
      <w:color w:val="auto"/>
      <w:sz w:val="24"/>
      <w:szCs w:val="24"/>
      <w:lang w:val="en-US" w:eastAsia="en-US"/>
    </w:rPr>
  </w:style>
  <w:style w:type="character" w:customStyle="1" w:styleId="Heading2Char">
    <w:name w:val="Heading 2 Char"/>
    <w:basedOn w:val="DefaultParagraphFont"/>
    <w:link w:val="Heading2"/>
    <w:uiPriority w:val="9"/>
    <w:semiHidden/>
    <w:rsid w:val="001D19DD"/>
    <w:rPr>
      <w:rFonts w:asciiTheme="majorHAnsi" w:eastAsiaTheme="majorEastAsia" w:hAnsiTheme="majorHAnsi" w:cstheme="majorBidi"/>
      <w:b/>
      <w:bCs/>
      <w:color w:val="4F81BD" w:themeColor="accen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5.bin"/><Relationship Id="rId42" Type="http://schemas.openxmlformats.org/officeDocument/2006/relationships/oleObject" Target="embeddings/oleObject15.bin"/><Relationship Id="rId47" Type="http://schemas.openxmlformats.org/officeDocument/2006/relationships/oleObject" Target="embeddings/oleObject17.bin"/><Relationship Id="rId63" Type="http://schemas.openxmlformats.org/officeDocument/2006/relationships/oleObject" Target="embeddings/oleObject26.bin"/><Relationship Id="rId68" Type="http://schemas.openxmlformats.org/officeDocument/2006/relationships/oleObject" Target="embeddings/oleObject29.bin"/><Relationship Id="rId84" Type="http://schemas.openxmlformats.org/officeDocument/2006/relationships/oleObject" Target="embeddings/oleObject36.bin"/><Relationship Id="rId89" Type="http://schemas.openxmlformats.org/officeDocument/2006/relationships/oleObject" Target="embeddings/oleObject39.bin"/><Relationship Id="rId7" Type="http://schemas.openxmlformats.org/officeDocument/2006/relationships/footnotes" Target="footnotes.xml"/><Relationship Id="rId71" Type="http://schemas.openxmlformats.org/officeDocument/2006/relationships/image" Target="media/image32.jpeg"/><Relationship Id="rId92" Type="http://schemas.openxmlformats.org/officeDocument/2006/relationships/image" Target="media/image43.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9.bin"/><Relationship Id="rId107" Type="http://schemas.openxmlformats.org/officeDocument/2006/relationships/theme" Target="theme/theme1.xml"/><Relationship Id="rId11" Type="http://schemas.openxmlformats.org/officeDocument/2006/relationships/image" Target="media/image2.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oleObject" Target="embeddings/oleObject23.bin"/><Relationship Id="rId66" Type="http://schemas.openxmlformats.org/officeDocument/2006/relationships/oleObject" Target="embeddings/oleObject28.bin"/><Relationship Id="rId74" Type="http://schemas.openxmlformats.org/officeDocument/2006/relationships/image" Target="media/image35.wmf"/><Relationship Id="rId79" Type="http://schemas.openxmlformats.org/officeDocument/2006/relationships/image" Target="media/image37.wmf"/><Relationship Id="rId87" Type="http://schemas.openxmlformats.org/officeDocument/2006/relationships/oleObject" Target="embeddings/oleObject38.bin"/><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5.bin"/><Relationship Id="rId82" Type="http://schemas.openxmlformats.org/officeDocument/2006/relationships/oleObject" Target="embeddings/oleObject35.bin"/><Relationship Id="rId90" Type="http://schemas.openxmlformats.org/officeDocument/2006/relationships/image" Target="media/image42.wmf"/><Relationship Id="rId95" Type="http://schemas.openxmlformats.org/officeDocument/2006/relationships/oleObject" Target="embeddings/oleObject42.bin"/><Relationship Id="rId19" Type="http://schemas.openxmlformats.org/officeDocument/2006/relationships/image" Target="media/image7.png"/><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chart" Target="charts/chart1.xml"/><Relationship Id="rId48" Type="http://schemas.openxmlformats.org/officeDocument/2006/relationships/image" Target="media/image22.wmf"/><Relationship Id="rId56" Type="http://schemas.openxmlformats.org/officeDocument/2006/relationships/oleObject" Target="embeddings/oleObject22.bin"/><Relationship Id="rId64" Type="http://schemas.openxmlformats.org/officeDocument/2006/relationships/image" Target="media/image29.wmf"/><Relationship Id="rId69" Type="http://schemas.openxmlformats.org/officeDocument/2006/relationships/image" Target="media/image31.wmf"/><Relationship Id="rId77" Type="http://schemas.openxmlformats.org/officeDocument/2006/relationships/oleObject" Target="embeddings/oleObject32.bin"/><Relationship Id="rId100" Type="http://schemas.openxmlformats.org/officeDocument/2006/relationships/oleObject" Target="embeddings/oleObject45.bin"/><Relationship Id="rId105"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image" Target="media/image33.jpeg"/><Relationship Id="rId80" Type="http://schemas.openxmlformats.org/officeDocument/2006/relationships/oleObject" Target="embeddings/oleObject34.bin"/><Relationship Id="rId85" Type="http://schemas.openxmlformats.org/officeDocument/2006/relationships/image" Target="media/image40.wmf"/><Relationship Id="rId93" Type="http://schemas.openxmlformats.org/officeDocument/2006/relationships/oleObject" Target="embeddings/oleObject41.bin"/><Relationship Id="rId98" Type="http://schemas.openxmlformats.org/officeDocument/2006/relationships/oleObject" Target="embeddings/oleObject44.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jpeg"/><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3.bin"/><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image" Target="media/image30.wmf"/><Relationship Id="rId103" Type="http://schemas.openxmlformats.org/officeDocument/2006/relationships/footer" Target="footer2.xml"/><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image" Target="media/image28.wmf"/><Relationship Id="rId70" Type="http://schemas.openxmlformats.org/officeDocument/2006/relationships/oleObject" Target="embeddings/oleObject30.bin"/><Relationship Id="rId75" Type="http://schemas.openxmlformats.org/officeDocument/2006/relationships/oleObject" Target="embeddings/oleObject31.bin"/><Relationship Id="rId83" Type="http://schemas.openxmlformats.org/officeDocument/2006/relationships/image" Target="media/image39.wmf"/><Relationship Id="rId88" Type="http://schemas.openxmlformats.org/officeDocument/2006/relationships/image" Target="media/image41.wmf"/><Relationship Id="rId91" Type="http://schemas.openxmlformats.org/officeDocument/2006/relationships/oleObject" Target="embeddings/oleObject40.bin"/><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image" Target="media/image16.jpeg"/><Relationship Id="rId49" Type="http://schemas.openxmlformats.org/officeDocument/2006/relationships/oleObject" Target="embeddings/oleObject18.bin"/><Relationship Id="rId57" Type="http://schemas.openxmlformats.org/officeDocument/2006/relationships/image" Target="media/image26.wmf"/><Relationship Id="rId106"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4.bin"/><Relationship Id="rId65" Type="http://schemas.openxmlformats.org/officeDocument/2006/relationships/oleObject" Target="embeddings/oleObject27.bin"/><Relationship Id="rId73" Type="http://schemas.openxmlformats.org/officeDocument/2006/relationships/image" Target="media/image34.jpeg"/><Relationship Id="rId78" Type="http://schemas.openxmlformats.org/officeDocument/2006/relationships/oleObject" Target="embeddings/oleObject33.bin"/><Relationship Id="rId81" Type="http://schemas.openxmlformats.org/officeDocument/2006/relationships/image" Target="media/image38.wmf"/><Relationship Id="rId86" Type="http://schemas.openxmlformats.org/officeDocument/2006/relationships/oleObject" Target="embeddings/oleObject37.bin"/><Relationship Id="rId94" Type="http://schemas.openxmlformats.org/officeDocument/2006/relationships/image" Target="media/image44.wmf"/><Relationship Id="rId99" Type="http://schemas.openxmlformats.org/officeDocument/2006/relationships/image" Target="media/image46.wmf"/><Relationship Id="rId10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6.png"/><Relationship Id="rId39" Type="http://schemas.openxmlformats.org/officeDocument/2006/relationships/image" Target="media/image18.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1.bin"/><Relationship Id="rId76" Type="http://schemas.openxmlformats.org/officeDocument/2006/relationships/image" Target="media/image36.wmf"/><Relationship Id="rId97" Type="http://schemas.openxmlformats.org/officeDocument/2006/relationships/oleObject" Target="embeddings/oleObject43.bin"/><Relationship Id="rId10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E:\new\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Greenshield</c:v>
          </c:tx>
          <c:spPr>
            <a:ln w="15875"/>
          </c:spPr>
          <c:marker>
            <c:symbol val="diamond"/>
            <c:size val="2"/>
          </c:marker>
          <c:cat>
            <c:strRef>
              <c:f>Sheet1!$A$32:$A$45</c:f>
              <c:strCache>
                <c:ptCount val="14"/>
                <c:pt idx="0">
                  <c:v>0-10</c:v>
                </c:pt>
                <c:pt idx="1">
                  <c:v>10-20</c:v>
                </c:pt>
                <c:pt idx="2">
                  <c:v>20-30</c:v>
                </c:pt>
                <c:pt idx="3">
                  <c:v>30-40</c:v>
                </c:pt>
                <c:pt idx="4">
                  <c:v>40-50</c:v>
                </c:pt>
                <c:pt idx="5">
                  <c:v>50-60</c:v>
                </c:pt>
                <c:pt idx="6">
                  <c:v>60-70</c:v>
                </c:pt>
                <c:pt idx="7">
                  <c:v>70-80</c:v>
                </c:pt>
                <c:pt idx="8">
                  <c:v>80-90</c:v>
                </c:pt>
                <c:pt idx="9">
                  <c:v>90-100</c:v>
                </c:pt>
                <c:pt idx="10">
                  <c:v>100-110</c:v>
                </c:pt>
                <c:pt idx="11">
                  <c:v>110-120</c:v>
                </c:pt>
                <c:pt idx="12">
                  <c:v>120-130</c:v>
                </c:pt>
                <c:pt idx="13">
                  <c:v>130-140</c:v>
                </c:pt>
              </c:strCache>
            </c:strRef>
          </c:cat>
          <c:val>
            <c:numRef>
              <c:f>Sheet1!$B$32:$B$45</c:f>
              <c:numCache>
                <c:formatCode>General</c:formatCode>
                <c:ptCount val="14"/>
                <c:pt idx="0">
                  <c:v>265.47399999999999</c:v>
                </c:pt>
                <c:pt idx="1">
                  <c:v>369.92</c:v>
                </c:pt>
                <c:pt idx="2">
                  <c:v>280.74</c:v>
                </c:pt>
                <c:pt idx="3">
                  <c:v>126.71299999999999</c:v>
                </c:pt>
                <c:pt idx="4">
                  <c:v>256.63799999999998</c:v>
                </c:pt>
                <c:pt idx="5">
                  <c:v>292.75400000000002</c:v>
                </c:pt>
                <c:pt idx="6">
                  <c:v>335.375</c:v>
                </c:pt>
                <c:pt idx="7">
                  <c:v>191.02699999999999</c:v>
                </c:pt>
                <c:pt idx="8">
                  <c:v>94.518000000000001</c:v>
                </c:pt>
                <c:pt idx="9">
                  <c:v>41.505000000000003</c:v>
                </c:pt>
                <c:pt idx="10">
                  <c:v>8.5060000000000002</c:v>
                </c:pt>
                <c:pt idx="11">
                  <c:v>41.914999999999999</c:v>
                </c:pt>
                <c:pt idx="12">
                  <c:v>130.078</c:v>
                </c:pt>
                <c:pt idx="13">
                  <c:v>338.26299999999998</c:v>
                </c:pt>
              </c:numCache>
            </c:numRef>
          </c:val>
          <c:smooth val="0"/>
        </c:ser>
        <c:ser>
          <c:idx val="1"/>
          <c:order val="1"/>
          <c:tx>
            <c:v>Greenberg</c:v>
          </c:tx>
          <c:spPr>
            <a:ln w="15875"/>
          </c:spPr>
          <c:marker>
            <c:symbol val="square"/>
            <c:size val="2"/>
          </c:marker>
          <c:cat>
            <c:strRef>
              <c:f>Sheet1!$A$32:$A$45</c:f>
              <c:strCache>
                <c:ptCount val="14"/>
                <c:pt idx="0">
                  <c:v>0-10</c:v>
                </c:pt>
                <c:pt idx="1">
                  <c:v>10-20</c:v>
                </c:pt>
                <c:pt idx="2">
                  <c:v>20-30</c:v>
                </c:pt>
                <c:pt idx="3">
                  <c:v>30-40</c:v>
                </c:pt>
                <c:pt idx="4">
                  <c:v>40-50</c:v>
                </c:pt>
                <c:pt idx="5">
                  <c:v>50-60</c:v>
                </c:pt>
                <c:pt idx="6">
                  <c:v>60-70</c:v>
                </c:pt>
                <c:pt idx="7">
                  <c:v>70-80</c:v>
                </c:pt>
                <c:pt idx="8">
                  <c:v>80-90</c:v>
                </c:pt>
                <c:pt idx="9">
                  <c:v>90-100</c:v>
                </c:pt>
                <c:pt idx="10">
                  <c:v>100-110</c:v>
                </c:pt>
                <c:pt idx="11">
                  <c:v>110-120</c:v>
                </c:pt>
                <c:pt idx="12">
                  <c:v>120-130</c:v>
                </c:pt>
                <c:pt idx="13">
                  <c:v>130-140</c:v>
                </c:pt>
              </c:strCache>
            </c:strRef>
          </c:cat>
          <c:val>
            <c:numRef>
              <c:f>Sheet1!$C$32:$C$45</c:f>
              <c:numCache>
                <c:formatCode>General</c:formatCode>
                <c:ptCount val="14"/>
                <c:pt idx="0">
                  <c:v>307.08800000000002</c:v>
                </c:pt>
                <c:pt idx="1">
                  <c:v>132.15299999999999</c:v>
                </c:pt>
                <c:pt idx="2">
                  <c:v>415.197</c:v>
                </c:pt>
                <c:pt idx="3">
                  <c:v>82.275000000000006</c:v>
                </c:pt>
                <c:pt idx="4">
                  <c:v>43.389000000000003</c:v>
                </c:pt>
                <c:pt idx="5">
                  <c:v>34.616999999999997</c:v>
                </c:pt>
                <c:pt idx="6">
                  <c:v>77.412000000000006</c:v>
                </c:pt>
                <c:pt idx="7">
                  <c:v>34.097999999999999</c:v>
                </c:pt>
                <c:pt idx="8">
                  <c:v>21.7</c:v>
                </c:pt>
                <c:pt idx="9">
                  <c:v>17.757000000000001</c:v>
                </c:pt>
                <c:pt idx="10">
                  <c:v>7.9580000000000002</c:v>
                </c:pt>
                <c:pt idx="11">
                  <c:v>9.9120000000000008</c:v>
                </c:pt>
                <c:pt idx="12">
                  <c:v>4.9539999999999997</c:v>
                </c:pt>
                <c:pt idx="13">
                  <c:v>20.167000000000002</c:v>
                </c:pt>
              </c:numCache>
            </c:numRef>
          </c:val>
          <c:smooth val="0"/>
        </c:ser>
        <c:ser>
          <c:idx val="2"/>
          <c:order val="2"/>
          <c:tx>
            <c:v>Underwood</c:v>
          </c:tx>
          <c:spPr>
            <a:ln w="15875"/>
          </c:spPr>
          <c:marker>
            <c:symbol val="triangle"/>
            <c:size val="2"/>
          </c:marker>
          <c:cat>
            <c:strRef>
              <c:f>Sheet1!$A$32:$A$45</c:f>
              <c:strCache>
                <c:ptCount val="14"/>
                <c:pt idx="0">
                  <c:v>0-10</c:v>
                </c:pt>
                <c:pt idx="1">
                  <c:v>10-20</c:v>
                </c:pt>
                <c:pt idx="2">
                  <c:v>20-30</c:v>
                </c:pt>
                <c:pt idx="3">
                  <c:v>30-40</c:v>
                </c:pt>
                <c:pt idx="4">
                  <c:v>40-50</c:v>
                </c:pt>
                <c:pt idx="5">
                  <c:v>50-60</c:v>
                </c:pt>
                <c:pt idx="6">
                  <c:v>60-70</c:v>
                </c:pt>
                <c:pt idx="7">
                  <c:v>70-80</c:v>
                </c:pt>
                <c:pt idx="8">
                  <c:v>80-90</c:v>
                </c:pt>
                <c:pt idx="9">
                  <c:v>90-100</c:v>
                </c:pt>
                <c:pt idx="10">
                  <c:v>100-110</c:v>
                </c:pt>
                <c:pt idx="11">
                  <c:v>110-120</c:v>
                </c:pt>
                <c:pt idx="12">
                  <c:v>120-130</c:v>
                </c:pt>
                <c:pt idx="13">
                  <c:v>130-140</c:v>
                </c:pt>
              </c:strCache>
            </c:strRef>
          </c:cat>
          <c:val>
            <c:numRef>
              <c:f>Sheet1!$D$32:$D$45</c:f>
              <c:numCache>
                <c:formatCode>General</c:formatCode>
                <c:ptCount val="14"/>
                <c:pt idx="0">
                  <c:v>99.22</c:v>
                </c:pt>
                <c:pt idx="1">
                  <c:v>57.231000000000002</c:v>
                </c:pt>
                <c:pt idx="2">
                  <c:v>226.75399999999999</c:v>
                </c:pt>
                <c:pt idx="3">
                  <c:v>72.784999999999997</c:v>
                </c:pt>
                <c:pt idx="4">
                  <c:v>52.887999999999998</c:v>
                </c:pt>
                <c:pt idx="5">
                  <c:v>28.687999999999999</c:v>
                </c:pt>
                <c:pt idx="6">
                  <c:v>55.651000000000003</c:v>
                </c:pt>
                <c:pt idx="7">
                  <c:v>16.992000000000001</c:v>
                </c:pt>
                <c:pt idx="8">
                  <c:v>12.506</c:v>
                </c:pt>
                <c:pt idx="9">
                  <c:v>13.738</c:v>
                </c:pt>
                <c:pt idx="10">
                  <c:v>6.9880000000000004</c:v>
                </c:pt>
                <c:pt idx="11">
                  <c:v>9.4909999999999997</c:v>
                </c:pt>
                <c:pt idx="12">
                  <c:v>4.1790000000000003</c:v>
                </c:pt>
                <c:pt idx="13">
                  <c:v>8.6110000000000007</c:v>
                </c:pt>
              </c:numCache>
            </c:numRef>
          </c:val>
          <c:smooth val="0"/>
        </c:ser>
        <c:ser>
          <c:idx val="3"/>
          <c:order val="3"/>
          <c:tx>
            <c:v>Northwestern</c:v>
          </c:tx>
          <c:spPr>
            <a:ln w="15875"/>
          </c:spPr>
          <c:marker>
            <c:symbol val="x"/>
            <c:size val="2"/>
          </c:marker>
          <c:cat>
            <c:strRef>
              <c:f>Sheet1!$A$32:$A$45</c:f>
              <c:strCache>
                <c:ptCount val="14"/>
                <c:pt idx="0">
                  <c:v>0-10</c:v>
                </c:pt>
                <c:pt idx="1">
                  <c:v>10-20</c:v>
                </c:pt>
                <c:pt idx="2">
                  <c:v>20-30</c:v>
                </c:pt>
                <c:pt idx="3">
                  <c:v>30-40</c:v>
                </c:pt>
                <c:pt idx="4">
                  <c:v>40-50</c:v>
                </c:pt>
                <c:pt idx="5">
                  <c:v>50-60</c:v>
                </c:pt>
                <c:pt idx="6">
                  <c:v>60-70</c:v>
                </c:pt>
                <c:pt idx="7">
                  <c:v>70-80</c:v>
                </c:pt>
                <c:pt idx="8">
                  <c:v>80-90</c:v>
                </c:pt>
                <c:pt idx="9">
                  <c:v>90-100</c:v>
                </c:pt>
                <c:pt idx="10">
                  <c:v>100-110</c:v>
                </c:pt>
                <c:pt idx="11">
                  <c:v>110-120</c:v>
                </c:pt>
                <c:pt idx="12">
                  <c:v>120-130</c:v>
                </c:pt>
                <c:pt idx="13">
                  <c:v>130-140</c:v>
                </c:pt>
              </c:strCache>
            </c:strRef>
          </c:cat>
          <c:val>
            <c:numRef>
              <c:f>Sheet1!$E$32:$E$45</c:f>
              <c:numCache>
                <c:formatCode>General</c:formatCode>
                <c:ptCount val="14"/>
                <c:pt idx="0">
                  <c:v>22.989000000000001</c:v>
                </c:pt>
                <c:pt idx="1">
                  <c:v>47.472000000000001</c:v>
                </c:pt>
                <c:pt idx="2">
                  <c:v>85.436999999999998</c:v>
                </c:pt>
                <c:pt idx="3">
                  <c:v>155.886</c:v>
                </c:pt>
                <c:pt idx="4">
                  <c:v>144.93</c:v>
                </c:pt>
                <c:pt idx="5">
                  <c:v>41.152999999999999</c:v>
                </c:pt>
                <c:pt idx="6">
                  <c:v>39.47</c:v>
                </c:pt>
                <c:pt idx="7">
                  <c:v>39.676000000000002</c:v>
                </c:pt>
                <c:pt idx="8">
                  <c:v>85.12</c:v>
                </c:pt>
                <c:pt idx="9">
                  <c:v>111.47199999999999</c:v>
                </c:pt>
                <c:pt idx="10">
                  <c:v>99.105999999999995</c:v>
                </c:pt>
                <c:pt idx="11">
                  <c:v>89.858999999999995</c:v>
                </c:pt>
                <c:pt idx="12">
                  <c:v>72.364999999999995</c:v>
                </c:pt>
                <c:pt idx="13">
                  <c:v>71.676000000000002</c:v>
                </c:pt>
              </c:numCache>
            </c:numRef>
          </c:val>
          <c:smooth val="0"/>
        </c:ser>
        <c:dLbls>
          <c:showLegendKey val="0"/>
          <c:showVal val="0"/>
          <c:showCatName val="0"/>
          <c:showSerName val="0"/>
          <c:showPercent val="0"/>
          <c:showBubbleSize val="0"/>
        </c:dLbls>
        <c:marker val="1"/>
        <c:smooth val="0"/>
        <c:axId val="35760384"/>
        <c:axId val="35762560"/>
      </c:lineChart>
      <c:catAx>
        <c:axId val="35760384"/>
        <c:scaling>
          <c:orientation val="minMax"/>
        </c:scaling>
        <c:delete val="0"/>
        <c:axPos val="b"/>
        <c:title>
          <c:tx>
            <c:rich>
              <a:bodyPr/>
              <a:lstStyle/>
              <a:p>
                <a:pPr>
                  <a:defRPr/>
                </a:pPr>
                <a:r>
                  <a:rPr lang="en-AU"/>
                  <a:t>Denstity</a:t>
                </a:r>
                <a:r>
                  <a:rPr lang="en-AU" baseline="0"/>
                  <a:t> (veh/km)</a:t>
                </a:r>
                <a:endParaRPr lang="en-AU"/>
              </a:p>
            </c:rich>
          </c:tx>
          <c:overlay val="0"/>
        </c:title>
        <c:numFmt formatCode="General" sourceLinked="1"/>
        <c:majorTickMark val="out"/>
        <c:minorTickMark val="none"/>
        <c:tickLblPos val="nextTo"/>
        <c:crossAx val="35762560"/>
        <c:crosses val="autoZero"/>
        <c:auto val="1"/>
        <c:lblAlgn val="l"/>
        <c:lblOffset val="100"/>
        <c:noMultiLvlLbl val="0"/>
      </c:catAx>
      <c:valAx>
        <c:axId val="35762560"/>
        <c:scaling>
          <c:orientation val="minMax"/>
        </c:scaling>
        <c:delete val="0"/>
        <c:axPos val="l"/>
        <c:majorGridlines/>
        <c:title>
          <c:tx>
            <c:rich>
              <a:bodyPr rot="-5400000" vert="horz"/>
              <a:lstStyle/>
              <a:p>
                <a:pPr>
                  <a:defRPr/>
                </a:pPr>
                <a:r>
                  <a:rPr lang="en-AU"/>
                  <a:t>MSE</a:t>
                </a:r>
              </a:p>
            </c:rich>
          </c:tx>
          <c:layout>
            <c:manualLayout>
              <c:xMode val="edge"/>
              <c:yMode val="edge"/>
              <c:x val="2.1118305746507166E-2"/>
              <c:y val="0.36563764858733977"/>
            </c:manualLayout>
          </c:layout>
          <c:overlay val="0"/>
        </c:title>
        <c:numFmt formatCode="General" sourceLinked="1"/>
        <c:majorTickMark val="out"/>
        <c:minorTickMark val="none"/>
        <c:tickLblPos val="nextTo"/>
        <c:crossAx val="357603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8A145-29BF-4AC8-A034-D272D872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soeadmin</dc:creator>
  <cp:lastModifiedBy>soeadmin</cp:lastModifiedBy>
  <cp:revision>2</cp:revision>
  <dcterms:created xsi:type="dcterms:W3CDTF">2015-05-29T00:52:00Z</dcterms:created>
  <dcterms:modified xsi:type="dcterms:W3CDTF">2015-05-29T00:52:00Z</dcterms:modified>
</cp:coreProperties>
</file>