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83B23" w14:textId="2E9BF6E6" w:rsidR="00F00241" w:rsidRPr="00502AFC" w:rsidRDefault="00C047FF" w:rsidP="00B27094">
      <w:pPr>
        <w:pStyle w:val="PublicationTitle"/>
      </w:pPr>
      <w:r w:rsidRPr="00C047FF">
        <w:t>Motorcycles in Developing Asian Cities: A Case Study of Hanoi</w:t>
      </w:r>
    </w:p>
    <w:p w14:paraId="0651A348" w14:textId="77777777" w:rsidR="00F00241" w:rsidRPr="00050CA3" w:rsidRDefault="008735E4" w:rsidP="00B27094">
      <w:pPr>
        <w:pStyle w:val="AuthorName"/>
        <w:rPr>
          <w:vertAlign w:val="superscript"/>
        </w:rPr>
      </w:pPr>
      <w:r w:rsidRPr="008735E4">
        <w:t>Dr David Bray</w:t>
      </w:r>
      <w:r w:rsidR="00F00241">
        <w:rPr>
          <w:vertAlign w:val="superscript"/>
        </w:rPr>
        <w:t>1</w:t>
      </w:r>
      <w:r w:rsidR="00050CA3">
        <w:t xml:space="preserve"> and Dr Nicholas Holyoak</w:t>
      </w:r>
      <w:r w:rsidR="00050CA3">
        <w:rPr>
          <w:vertAlign w:val="superscript"/>
        </w:rPr>
        <w:t>2</w:t>
      </w:r>
    </w:p>
    <w:p w14:paraId="04F1B47C" w14:textId="77777777" w:rsidR="00F00241" w:rsidRPr="00050CA3" w:rsidRDefault="00F00241" w:rsidP="00B27094">
      <w:pPr>
        <w:pStyle w:val="AuthorAddress"/>
      </w:pPr>
      <w:r>
        <w:rPr>
          <w:vertAlign w:val="superscript"/>
        </w:rPr>
        <w:t>1</w:t>
      </w:r>
      <w:r w:rsidR="008735E4" w:rsidRPr="008735E4">
        <w:t>Adjunct Associate Prof</w:t>
      </w:r>
      <w:r w:rsidR="008735E4">
        <w:t>essor, University of Queensland</w:t>
      </w:r>
      <w:r w:rsidR="00050CA3">
        <w:t xml:space="preserve">. </w:t>
      </w:r>
      <w:r w:rsidR="00050CA3">
        <w:rPr>
          <w:vertAlign w:val="superscript"/>
        </w:rPr>
        <w:t>2</w:t>
      </w:r>
      <w:r w:rsidR="00854EF2">
        <w:t xml:space="preserve"> Research Fellow,</w:t>
      </w:r>
      <w:r w:rsidR="00050CA3">
        <w:t xml:space="preserve"> Flinders University.</w:t>
      </w:r>
    </w:p>
    <w:p w14:paraId="47A5BCC8" w14:textId="77777777" w:rsidR="001A5FC9" w:rsidRDefault="00C21069" w:rsidP="00B27094">
      <w:pPr>
        <w:pStyle w:val="AuthorAddress"/>
      </w:pPr>
      <w:r>
        <w:t xml:space="preserve">Email </w:t>
      </w:r>
      <w:r w:rsidR="00CD5D10">
        <w:t>for correspondence</w:t>
      </w:r>
      <w:r w:rsidR="00F00241" w:rsidRPr="005374AC">
        <w:t>:</w:t>
      </w:r>
      <w:r w:rsidR="00A66EBC">
        <w:t xml:space="preserve"> </w:t>
      </w:r>
      <w:r w:rsidR="008735E4" w:rsidRPr="008735E4">
        <w:t>d.bray1@uq.edu.au</w:t>
      </w:r>
    </w:p>
    <w:p w14:paraId="3C48264A" w14:textId="77777777" w:rsidR="00F00241" w:rsidRPr="005F6B9B" w:rsidRDefault="00F00241" w:rsidP="00B27094">
      <w:pPr>
        <w:pStyle w:val="AbstractTitle"/>
      </w:pPr>
      <w:r w:rsidRPr="005F6B9B">
        <w:t>Abstract</w:t>
      </w:r>
    </w:p>
    <w:p w14:paraId="36F1B25C" w14:textId="738B7515" w:rsidR="007656DA" w:rsidRDefault="00050CA3" w:rsidP="00853BDF">
      <w:r w:rsidRPr="00050CA3">
        <w:t>The rapid rise in motorcycle transport in developing Asian countries and in particular in Vietnam, poses a challenge to planning authorities and policy makers. Very little is understood about responses of motorcycle users to policy instruments available to government to better manage the mode. This is an impediment to the planning and appraisal of policy initiatives, and henc</w:t>
      </w:r>
      <w:r>
        <w:t>e efforts to reduce the adverse</w:t>
      </w:r>
      <w:r w:rsidRPr="00050CA3">
        <w:t xml:space="preserve"> effects on present and future populations of the mode, including travel delays, health and safety impacts and emissions production. There is a need to better position the role of the motorcycle in providing urban mobility and its integration with other modes. This is especially the case considering potential changes to public transport options and the effect of rising incomes and car ownership. This paper describes a study undertaken on the use and ownership win the city of Hanoi, Vietnam. Focus groups, interviews, surveys and other data collection processes allowed for subsequent analysis and interpretations with the development of a policy model to test the effect of some potential policy initiatives. Results of the study and assembled data resources provide potential solutions for Vietnam and could be widely informative across East Asia and other regions where developing cities are facing similar challenges</w:t>
      </w:r>
      <w:r w:rsidR="00853BDF">
        <w:t xml:space="preserve"> </w:t>
      </w:r>
    </w:p>
    <w:p w14:paraId="71544637" w14:textId="77777777" w:rsidR="00853BDF" w:rsidRDefault="00E73748" w:rsidP="00E73748">
      <w:pPr>
        <w:pStyle w:val="SectionHeadingLevel1"/>
      </w:pPr>
      <w:r>
        <w:t>1. Introduction</w:t>
      </w:r>
    </w:p>
    <w:p w14:paraId="4916A12B" w14:textId="77777777" w:rsidR="00853BDF" w:rsidRDefault="00853BDF" w:rsidP="00853BDF">
      <w:r>
        <w:t>The rate of motor vehicle ownership in developing East Asian countries roughly tripled between 2003 and 2009 in line with nominal GDP per capita increases. Two wheeled motorized vehicles (hereafter ‘</w:t>
      </w:r>
      <w:proofErr w:type="spellStart"/>
      <w:r>
        <w:t>motos</w:t>
      </w:r>
      <w:proofErr w:type="spellEnd"/>
      <w:r>
        <w:t xml:space="preserve">’) have accounted for much of this growth. The impact of increasing motorization and moto ownership has been particularly apparent in the cities of Vietnam. </w:t>
      </w:r>
    </w:p>
    <w:p w14:paraId="0431CBC3" w14:textId="77777777" w:rsidR="00853BDF" w:rsidRDefault="00853BDF" w:rsidP="00853BDF">
      <w:proofErr w:type="spellStart"/>
      <w:r>
        <w:t>Motos</w:t>
      </w:r>
      <w:proofErr w:type="spellEnd"/>
      <w:r>
        <w:t xml:space="preserve"> are a particularly interesting mode as they offer both problems and solutions to the challenge of providing urban transport. It is important to appreciate that </w:t>
      </w:r>
      <w:proofErr w:type="spellStart"/>
      <w:r>
        <w:t>motos</w:t>
      </w:r>
      <w:proofErr w:type="spellEnd"/>
      <w:r>
        <w:t xml:space="preserve"> provide levels of mobility that other modes have been unable to match in many developing cities. There are positive aspects of this mobility. For example, </w:t>
      </w:r>
      <w:proofErr w:type="spellStart"/>
      <w:r>
        <w:t>motos</w:t>
      </w:r>
      <w:proofErr w:type="spellEnd"/>
      <w:r>
        <w:t xml:space="preserve"> use </w:t>
      </w:r>
      <w:r w:rsidR="00050CA3">
        <w:t xml:space="preserve">much less </w:t>
      </w:r>
      <w:r>
        <w:t xml:space="preserve">roadway capacity relative to automobiles. This is particularly advantageous in </w:t>
      </w:r>
      <w:r w:rsidR="00050CA3">
        <w:t xml:space="preserve">cities </w:t>
      </w:r>
      <w:r>
        <w:t xml:space="preserve">where roads </w:t>
      </w:r>
      <w:r w:rsidR="00050CA3">
        <w:t xml:space="preserve">can sometimes </w:t>
      </w:r>
      <w:r>
        <w:t xml:space="preserve">occupy only 10 percent </w:t>
      </w:r>
      <w:r w:rsidR="00050CA3">
        <w:t xml:space="preserve">a </w:t>
      </w:r>
      <w:r>
        <w:t xml:space="preserve">city’s land area. However, the </w:t>
      </w:r>
      <w:r w:rsidR="00050CA3">
        <w:t>number</w:t>
      </w:r>
      <w:r>
        <w:t xml:space="preserve"> of </w:t>
      </w:r>
      <w:proofErr w:type="spellStart"/>
      <w:r>
        <w:t>motos</w:t>
      </w:r>
      <w:proofErr w:type="spellEnd"/>
      <w:r>
        <w:t xml:space="preserve"> in Vietnam’s cities </w:t>
      </w:r>
      <w:r w:rsidR="00050CA3">
        <w:t xml:space="preserve">result in many </w:t>
      </w:r>
      <w:r>
        <w:t>challenges</w:t>
      </w:r>
      <w:r w:rsidR="00050CA3">
        <w:t>,</w:t>
      </w:r>
      <w:r>
        <w:t xml:space="preserve"> including congestion, noise, emissions, and negative impacts on non-motorized transport and pedestrian spaces. </w:t>
      </w:r>
    </w:p>
    <w:p w14:paraId="0562A2DA" w14:textId="77777777" w:rsidR="00853BDF" w:rsidRDefault="00050CA3" w:rsidP="00853BDF">
      <w:r>
        <w:t>T</w:t>
      </w:r>
      <w:r w:rsidR="00853BDF">
        <w:t xml:space="preserve">here is still very little that cities know about </w:t>
      </w:r>
      <w:r>
        <w:t xml:space="preserve">the drivers of demand for </w:t>
      </w:r>
      <w:r w:rsidR="00853BDF">
        <w:t xml:space="preserve">this mode. This paper </w:t>
      </w:r>
      <w:r>
        <w:t xml:space="preserve">describes some of the results of a research study undertaken in </w:t>
      </w:r>
      <w:r w:rsidR="00853BDF">
        <w:t xml:space="preserve">Hanoi, the capital of Vietnam. A particular focus is to identify the factors that drive modal shift to and from </w:t>
      </w:r>
      <w:proofErr w:type="spellStart"/>
      <w:r w:rsidR="00853BDF">
        <w:t>motos</w:t>
      </w:r>
      <w:proofErr w:type="spellEnd"/>
      <w:r w:rsidR="00853BDF">
        <w:t xml:space="preserve"> for different segments of the urban transport market. Lessons learned and potential solutions for Vietnam could be widely informative across East Asia and other regions where developing cities are facing similar challenges.</w:t>
      </w:r>
    </w:p>
    <w:p w14:paraId="340E42B6" w14:textId="77777777" w:rsidR="00853BDF" w:rsidRDefault="00E73748" w:rsidP="00E73748">
      <w:pPr>
        <w:pStyle w:val="SectionHeadingLevel1"/>
      </w:pPr>
      <w:r>
        <w:t>2. An Overview of Transport in Hanoi</w:t>
      </w:r>
    </w:p>
    <w:p w14:paraId="22221ED4" w14:textId="77777777" w:rsidR="00853BDF" w:rsidRDefault="00853BDF" w:rsidP="00853BDF">
      <w:r>
        <w:t>Hanoi, the capital of Vietnam, is a city that had a population of 6.8 million people in 2</w:t>
      </w:r>
      <w:r w:rsidR="00050CA3">
        <w:t>012. Density is high, with 2,060 people per hectare (830</w:t>
      </w:r>
      <w:r>
        <w:t xml:space="preserve"> people per acre) in that year. Gross national income per capita fo</w:t>
      </w:r>
      <w:r w:rsidR="00DB509F">
        <w:t xml:space="preserve">r Vietnam in 2013, converted at the </w:t>
      </w:r>
      <w:r>
        <w:t>purchasing power parity</w:t>
      </w:r>
      <w:r w:rsidR="00DB509F">
        <w:t xml:space="preserve"> exchange rate</w:t>
      </w:r>
      <w:r>
        <w:t xml:space="preserve">, was US$5,030, which compares with US$53,960 for the USA </w:t>
      </w:r>
      <w:r w:rsidR="00DB509F">
        <w:t xml:space="preserve">(World Bank, </w:t>
      </w:r>
      <w:hyperlink r:id="rId8" w:history="1">
        <w:r w:rsidR="00DB509F" w:rsidRPr="000A34CF">
          <w:rPr>
            <w:rStyle w:val="Hyperlink"/>
          </w:rPr>
          <w:t>http://wdi.worldbank.org/table/1.1</w:t>
        </w:r>
      </w:hyperlink>
      <w:r w:rsidR="00DB509F">
        <w:t xml:space="preserve"> accessed July 24, 2014</w:t>
      </w:r>
      <w:r>
        <w:t>).</w:t>
      </w:r>
    </w:p>
    <w:p w14:paraId="12057546" w14:textId="73FC7B11" w:rsidR="00853BDF" w:rsidRDefault="00853BDF" w:rsidP="00853BDF">
      <w:r>
        <w:lastRenderedPageBreak/>
        <w:t xml:space="preserve">Between 2006 and 2011, the number of registered cars in Hanoi rose by 179 percent to 235,000 while the number of motorcycles rose by 85 percent to 4.0 million units. These average annual growth rates of 22.8 percent for cars and 13.1 percent for motorcycles are very high by international standards. The motorcycles registered in Hanoi in 2011 accounted for 10.5 percent of total number of motorcycles in the country. Based on population in that year, average ownership was 0.61 motorcycles per person, which is a little lower than in </w:t>
      </w:r>
      <w:proofErr w:type="spellStart"/>
      <w:r>
        <w:t>Ho</w:t>
      </w:r>
      <w:proofErr w:type="spellEnd"/>
      <w:r>
        <w:t xml:space="preserve"> Chi Minh City, the other major city in the country, where ownership was 0.70 motorcycles per person. It is judged that the latter may be close to saturation levels after allowing for those such as children and the aged who are unable to use motorcycles. Ownership of smaller pedal electric ‘</w:t>
      </w:r>
      <w:proofErr w:type="spellStart"/>
      <w:r>
        <w:t>xe</w:t>
      </w:r>
      <w:proofErr w:type="spellEnd"/>
      <w:r>
        <w:t xml:space="preserve"> dap </w:t>
      </w:r>
      <w:proofErr w:type="spellStart"/>
      <w:r>
        <w:t>dien</w:t>
      </w:r>
      <w:proofErr w:type="spellEnd"/>
      <w:r>
        <w:t>’ that can be ridden by teenagers without a driving licen</w:t>
      </w:r>
      <w:r w:rsidR="005F734A">
        <w:t>c</w:t>
      </w:r>
      <w:r>
        <w:t xml:space="preserve">e, and electric </w:t>
      </w:r>
      <w:proofErr w:type="spellStart"/>
      <w:r>
        <w:t>motos</w:t>
      </w:r>
      <w:proofErr w:type="spellEnd"/>
      <w:r>
        <w:t xml:space="preserve"> more generally, are an emerging trend.</w:t>
      </w:r>
    </w:p>
    <w:p w14:paraId="7670B221" w14:textId="0E1EFBAD" w:rsidR="00853BDF" w:rsidRDefault="00853BDF" w:rsidP="00853BDF">
      <w:r>
        <w:t xml:space="preserve">Motorcycles in Hanoi, and Vietnam more generally, are now almost exclusively powered by four-stroke internal combustion engines, with fuel injection accounting for only a relatively small, albeit rising, share of the fleet. Engine size is low, with virtually all motorcycles and </w:t>
      </w:r>
      <w:r w:rsidRPr="00140D39">
        <w:t xml:space="preserve">scooters in-use having engine displacement of less than 150 cc and with the most common size being 125 cc. </w:t>
      </w:r>
      <w:r w:rsidR="00140D39" w:rsidRPr="0053604B">
        <w:t>European emission standards category 2, or ‘Euro 2’ standards (European Parliament and Council of The European Union, 2002)</w:t>
      </w:r>
      <w:r w:rsidR="00002089">
        <w:t>, which</w:t>
      </w:r>
      <w:r w:rsidR="00140D39" w:rsidRPr="0053604B">
        <w:t xml:space="preserve"> define acceptable limits for exhaust emissions of new vehicles</w:t>
      </w:r>
      <w:r w:rsidR="00002089">
        <w:t>,</w:t>
      </w:r>
      <w:r w:rsidR="00140D39" w:rsidRPr="0053604B">
        <w:t xml:space="preserve"> </w:t>
      </w:r>
      <w:r w:rsidRPr="00140D39">
        <w:t>were introduced two years after their application in Europe</w:t>
      </w:r>
      <w:r w:rsidR="00140D39" w:rsidRPr="00140D39">
        <w:t>. T</w:t>
      </w:r>
      <w:r w:rsidRPr="00140D39">
        <w:t xml:space="preserve">here will be a ten year gap with regard to the full introduction of </w:t>
      </w:r>
      <w:r w:rsidR="00140D39" w:rsidRPr="00140D39">
        <w:t xml:space="preserve">the generally more stringent </w:t>
      </w:r>
      <w:r>
        <w:t>Euro 3 standards in Vietnam in 2017.</w:t>
      </w:r>
      <w:r w:rsidR="00140D39">
        <w:t xml:space="preserve"> </w:t>
      </w:r>
      <w:r>
        <w:t>Even so, Euro 3 standard motorcycles have been available for some time. A research study of a sample of 1,000 in-use motorcycles in 2007 in Hanoi found that 52.9 percent of motorcycles had uncontrolled emissions, 38.1 percent met Euro 2 standards and 9.0 percent met Euro 3 standards (</w:t>
      </w:r>
      <w:r w:rsidR="00DB509F">
        <w:t xml:space="preserve">Nguyen </w:t>
      </w:r>
      <w:r w:rsidR="00960B2D">
        <w:t>and Mai</w:t>
      </w:r>
      <w:r w:rsidR="00140D39">
        <w:t>,</w:t>
      </w:r>
      <w:r w:rsidR="00DB509F">
        <w:t xml:space="preserve"> 2008</w:t>
      </w:r>
      <w:r>
        <w:t>). The growth in motorcycle sales since 2007 will have since reduced the share of motorcycles with uncontrolled emissions and increased the shares of the other two categories.</w:t>
      </w:r>
    </w:p>
    <w:p w14:paraId="5C6E8290" w14:textId="77777777" w:rsidR="00853BDF" w:rsidRDefault="00D10E29" w:rsidP="00853BDF">
      <w:r>
        <w:t xml:space="preserve">Other than for the purchase of new cars, taxes on vehicles and vehicle use are low. When purchasing </w:t>
      </w:r>
      <w:r w:rsidR="00853BDF">
        <w:t xml:space="preserve">a new motorcycle, </w:t>
      </w:r>
      <w:r>
        <w:t xml:space="preserve">there is </w:t>
      </w:r>
      <w:r w:rsidR="00853BDF">
        <w:t>an ownership registration tax and</w:t>
      </w:r>
      <w:r>
        <w:t xml:space="preserve"> a one-off first-</w:t>
      </w:r>
      <w:r w:rsidR="00853BDF">
        <w:t xml:space="preserve">time registration fee </w:t>
      </w:r>
      <w:r>
        <w:t xml:space="preserve">that are in </w:t>
      </w:r>
      <w:r w:rsidR="00853BDF">
        <w:t xml:space="preserve">total around 10 percent of the cost of a motorcycle. A value added tax (VAT) of 10 percent also applies. </w:t>
      </w:r>
      <w:r>
        <w:t>For c</w:t>
      </w:r>
      <w:r w:rsidR="00853BDF">
        <w:t xml:space="preserve">ars, </w:t>
      </w:r>
      <w:r>
        <w:t xml:space="preserve">there is in addition to VAT, </w:t>
      </w:r>
      <w:r w:rsidR="00853BDF">
        <w:t xml:space="preserve">an import duty of between 15 percent and 60 percent, a special consumption tax that ranges from 45 percent to 60 percent (depending on engine capacity) and an ownership registration tax and a one-off first time registration fee </w:t>
      </w:r>
      <w:r>
        <w:t xml:space="preserve">that are together a little over </w:t>
      </w:r>
      <w:r w:rsidR="00853BDF">
        <w:t xml:space="preserve">20 </w:t>
      </w:r>
      <w:r>
        <w:t>percent</w:t>
      </w:r>
      <w:r w:rsidR="00853BDF">
        <w:t xml:space="preserve">. There were no ongoing annual registration or similar charge until 2013 when an annual road use fee was introduced at relatively low rates of US$7.50 per annum for motorcycles and US$78 for cars. The retail price for gasoline at the end of June 2014 was US$1.25/litre, indicating fuel taxes to be modest by international standards. The capital cost for a typical motorcycle, including taxes and delivery charges, is </w:t>
      </w:r>
      <w:r>
        <w:t xml:space="preserve">around </w:t>
      </w:r>
      <w:r w:rsidR="00853BDF">
        <w:t xml:space="preserve">US$2,200. Most motorcycles are purchased using family resources rather than finance from formal institutions. The cost of items that vary with use, e.g. fuel, tires, maintenance and oil, are low, at around 6.2 cents per motorcycle-km – this compares with around 31 cents per kilometre for </w:t>
      </w:r>
      <w:r>
        <w:t xml:space="preserve">these items for </w:t>
      </w:r>
      <w:r w:rsidR="00853BDF">
        <w:t>cars</w:t>
      </w:r>
      <w:r>
        <w:t xml:space="preserve"> (all in mid-2014 prices)</w:t>
      </w:r>
      <w:r w:rsidR="00853BDF">
        <w:t>.</w:t>
      </w:r>
    </w:p>
    <w:p w14:paraId="1693C1C8" w14:textId="77777777" w:rsidR="00853BDF" w:rsidRDefault="00853BDF" w:rsidP="00853BDF">
      <w:r>
        <w:t xml:space="preserve">Formal </w:t>
      </w:r>
      <w:r w:rsidR="00D10E29">
        <w:t>public transport</w:t>
      </w:r>
      <w:r>
        <w:t xml:space="preserve"> in Hanoi is currently provided using a fleet of around 1,145 buses. There are 80 routes, with a route on most main roads. However, bus service frequencies are relatively low, with mo</w:t>
      </w:r>
      <w:r w:rsidR="00D10E29">
        <w:t xml:space="preserve">st routes operating at 10 or 15 </w:t>
      </w:r>
      <w:r>
        <w:t xml:space="preserve">minute headways. Only eight routes appear to have a peak period headway better than 10 minutes. The formal </w:t>
      </w:r>
      <w:r w:rsidR="00D10E29">
        <w:t>public transport</w:t>
      </w:r>
      <w:r>
        <w:t xml:space="preserve"> system is complemented by standard taxis and a small informal motorcycle taxis. The limited scale of current formal </w:t>
      </w:r>
      <w:r w:rsidR="00D10E29">
        <w:t>public transport</w:t>
      </w:r>
      <w:r>
        <w:t xml:space="preserve"> in Hanoi, illustrated by the small bus fleet relative to the population, is reflected in a mode share that seems to be only around 5 percent (though a rate of 10 percent is also reported based on high estimates of the number of trips made using </w:t>
      </w:r>
      <w:proofErr w:type="gramStart"/>
      <w:r>
        <w:t>monthly</w:t>
      </w:r>
      <w:proofErr w:type="gramEnd"/>
      <w:r>
        <w:t xml:space="preserve"> passes). </w:t>
      </w:r>
    </w:p>
    <w:p w14:paraId="3D7DC59C" w14:textId="77777777" w:rsidR="00853BDF" w:rsidRDefault="00853BDF" w:rsidP="00853BDF">
      <w:r>
        <w:t xml:space="preserve">The combination of low </w:t>
      </w:r>
      <w:r w:rsidR="00D10E29">
        <w:t>public transport</w:t>
      </w:r>
      <w:r>
        <w:t xml:space="preserve"> mode share and high motorcycle ownership makes Hanoi unique</w:t>
      </w:r>
      <w:r w:rsidR="004C7604">
        <w:t xml:space="preserve">. In most </w:t>
      </w:r>
      <w:r>
        <w:t xml:space="preserve">major cities in developing countries private vehicle ownership is low and </w:t>
      </w:r>
      <w:r w:rsidR="00D10E29">
        <w:t>public transport</w:t>
      </w:r>
      <w:r>
        <w:t xml:space="preserve"> plays a major role</w:t>
      </w:r>
      <w:r w:rsidR="004C7604">
        <w:t>. In contrast</w:t>
      </w:r>
      <w:r>
        <w:t xml:space="preserve">, Hanoi is a city </w:t>
      </w:r>
      <w:r w:rsidR="004C7604">
        <w:t xml:space="preserve">where the </w:t>
      </w:r>
      <w:r w:rsidR="00D10E29">
        <w:t>public transport</w:t>
      </w:r>
      <w:r>
        <w:t xml:space="preserve"> mode </w:t>
      </w:r>
      <w:r>
        <w:lastRenderedPageBreak/>
        <w:t xml:space="preserve">share </w:t>
      </w:r>
      <w:r w:rsidR="00D10E29">
        <w:t xml:space="preserve">is </w:t>
      </w:r>
      <w:r>
        <w:t>similar</w:t>
      </w:r>
      <w:r w:rsidR="00D10E29">
        <w:t xml:space="preserve"> to</w:t>
      </w:r>
      <w:r>
        <w:t>, if not lower than</w:t>
      </w:r>
      <w:r w:rsidR="00D10E29">
        <w:t>,</w:t>
      </w:r>
      <w:r>
        <w:t xml:space="preserve"> </w:t>
      </w:r>
      <w:r w:rsidR="00D10E29">
        <w:t xml:space="preserve">that </w:t>
      </w:r>
      <w:r>
        <w:t xml:space="preserve">in most developed, car-dominated cities and </w:t>
      </w:r>
      <w:r w:rsidR="004C7604">
        <w:t xml:space="preserve">it has a high rate of </w:t>
      </w:r>
      <w:r>
        <w:t>private vehicle ownership, albeit motorcycle rather than car.</w:t>
      </w:r>
    </w:p>
    <w:p w14:paraId="1D12D51B" w14:textId="77777777" w:rsidR="00853BDF" w:rsidRDefault="00853BDF" w:rsidP="00853BDF">
      <w:r>
        <w:t xml:space="preserve">Such an arrangement provides the community with a high level of mobility at moderate cost. It is not, however, without its challenges. The rapid growth in the number of registered vehicles has, in the face of only limited expansion of road capacity, led to traffic congestion that </w:t>
      </w:r>
      <w:r w:rsidR="009D5588">
        <w:t xml:space="preserve">is </w:t>
      </w:r>
      <w:r>
        <w:t>generally widespread and which is severe in some locations. While wearing of helmets has become mandatory for motorcycle users, compliance rates are variable and helmet quality is generally poor. Accident rates are high, with motorcycle riders vulnerable to harm because of the lack of physical protection. The rapid growth in vehicles has led to a substantial increase in air pollution, with many motorcyclists wearing masks to reduce inhalation of pollution and dust. Motorcycle users, and car users too, are permitted in some circumstances to use footpaths for parking, and use them anyway in other cases. While motorcycles domi</w:t>
      </w:r>
      <w:r w:rsidR="00180EC5">
        <w:t>nate the traffic flow</w:t>
      </w:r>
      <w:r w:rsidR="009F257B">
        <w:t xml:space="preserve"> as can be seen by the examples of traffic composition in Figure 1</w:t>
      </w:r>
      <w:r>
        <w:t>, the different operating characteristics of motorcycles, bicycles, cars, buses and trucks makes the flow uneven and reduces the effective road capacity as well as heightening the risk of accidents.</w:t>
      </w:r>
    </w:p>
    <w:p w14:paraId="768621B4" w14:textId="77777777" w:rsidR="009F257B" w:rsidRPr="00AE7D16" w:rsidRDefault="009F257B" w:rsidP="007656DA">
      <w:pPr>
        <w:pStyle w:val="Captionstyle"/>
        <w:keepNext/>
      </w:pPr>
      <w:r w:rsidRPr="00AE7D16">
        <w:t>Figure 1: Examples of traffic composition in Hanoi.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360"/>
      </w:tblGrid>
      <w:tr w:rsidR="00A87812" w14:paraId="36DCB8C0" w14:textId="77777777" w:rsidTr="00A87812">
        <w:tc>
          <w:tcPr>
            <w:tcW w:w="4530" w:type="dxa"/>
          </w:tcPr>
          <w:p w14:paraId="12C7FFBD" w14:textId="6A61F678" w:rsidR="00A87812" w:rsidRDefault="00AD220E" w:rsidP="007656DA">
            <w:pPr>
              <w:keepNext/>
            </w:pPr>
            <w:r>
              <w:rPr>
                <w:noProof/>
              </w:rPr>
              <w:drawing>
                <wp:inline distT="0" distB="0" distL="0" distR="0" wp14:anchorId="4B394C4F" wp14:editId="7031500F">
                  <wp:extent cx="2895600"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5600" cy="1790700"/>
                          </a:xfrm>
                          <a:prstGeom prst="rect">
                            <a:avLst/>
                          </a:prstGeom>
                        </pic:spPr>
                      </pic:pic>
                    </a:graphicData>
                  </a:graphic>
                </wp:inline>
              </w:drawing>
            </w:r>
          </w:p>
        </w:tc>
        <w:tc>
          <w:tcPr>
            <w:tcW w:w="4531" w:type="dxa"/>
          </w:tcPr>
          <w:p w14:paraId="1DAAA731" w14:textId="77777777" w:rsidR="00A87812" w:rsidRDefault="00A87812" w:rsidP="007656DA">
            <w:pPr>
              <w:keepNext/>
            </w:pPr>
            <w:r>
              <w:rPr>
                <w:noProof/>
              </w:rPr>
              <w:drawing>
                <wp:inline distT="0" distB="0" distL="0" distR="0" wp14:anchorId="0F090368" wp14:editId="00A3167B">
                  <wp:extent cx="2669337" cy="1781175"/>
                  <wp:effectExtent l="0" t="0" r="0" b="0"/>
                  <wp:docPr id="66" name="Picture 66" descr="C:\Users\David\Documents\Consulting\Vietnam Moto (2013)\Photos\giao-tho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David\Documents\Consulting\Vietnam Moto (2013)\Photos\giao-thong2.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8407" cy="1800572"/>
                          </a:xfrm>
                          <a:prstGeom prst="rect">
                            <a:avLst/>
                          </a:prstGeom>
                          <a:noFill/>
                          <a:ln>
                            <a:noFill/>
                          </a:ln>
                        </pic:spPr>
                      </pic:pic>
                    </a:graphicData>
                  </a:graphic>
                </wp:inline>
              </w:drawing>
            </w:r>
          </w:p>
        </w:tc>
      </w:tr>
    </w:tbl>
    <w:p w14:paraId="74BEBC02" w14:textId="77777777" w:rsidR="00853BDF" w:rsidRDefault="00853BDF" w:rsidP="00853BDF">
      <w:r>
        <w:t xml:space="preserve">The Governments of Vietnam and Hanoi are aware of the challenges they face and have taken some actions to improve urban transport outcomes. The principal action has been to improve </w:t>
      </w:r>
      <w:r w:rsidR="00D10E29">
        <w:t>public transport</w:t>
      </w:r>
      <w:r>
        <w:t xml:space="preserve">, focused on the development of urban rail and complementary improvements to the bus systems. By 2030, it is intended that there will be a network of eight rail mass rapid </w:t>
      </w:r>
      <w:r w:rsidR="00D10E29">
        <w:t>public transport</w:t>
      </w:r>
      <w:r>
        <w:t xml:space="preserve"> (MRT) lines and two bus rapid </w:t>
      </w:r>
      <w:r w:rsidR="00D10E29">
        <w:t>public transport</w:t>
      </w:r>
      <w:r>
        <w:t xml:space="preserve"> (BRT) lines (</w:t>
      </w:r>
      <w:r w:rsidR="00180EC5">
        <w:t>GOV 2011a</w:t>
      </w:r>
      <w:r>
        <w:t>). Three of the MRT line</w:t>
      </w:r>
      <w:r w:rsidR="009D5588">
        <w:t>s</w:t>
      </w:r>
      <w:r>
        <w:t xml:space="preserve"> and one of the BRT lines are currently under construction, with detailed planning proceeding for the remaining MRT lines. The number of buses is forecast to rise to 1,730 by</w:t>
      </w:r>
      <w:r w:rsidR="009D5588">
        <w:t xml:space="preserve"> 2020 (UTC 2010</w:t>
      </w:r>
      <w:r>
        <w:t xml:space="preserve">). The target for </w:t>
      </w:r>
      <w:r w:rsidR="00D10E29">
        <w:t>public transport</w:t>
      </w:r>
      <w:r>
        <w:t xml:space="preserve"> mode share is 35 percent in 2020 and 55 percent in 2030 relative to a </w:t>
      </w:r>
      <w:r w:rsidR="009D5588">
        <w:t xml:space="preserve">reported </w:t>
      </w:r>
      <w:r>
        <w:t>mode share of 10 percent in 2010 (</w:t>
      </w:r>
      <w:r w:rsidR="00180EC5">
        <w:t>GOV 2011b)</w:t>
      </w:r>
      <w:r>
        <w:t xml:space="preserve">. </w:t>
      </w:r>
    </w:p>
    <w:p w14:paraId="543F99AD" w14:textId="77777777" w:rsidR="00853BDF" w:rsidRDefault="00E73748" w:rsidP="00E73748">
      <w:pPr>
        <w:pStyle w:val="SectionHeadingLevel1"/>
      </w:pPr>
      <w:r>
        <w:t>3. The Research Study and Travel Behaviour Survey Methodology</w:t>
      </w:r>
    </w:p>
    <w:p w14:paraId="26F772EB" w14:textId="55A9CB47" w:rsidR="00853BDF" w:rsidRDefault="00853BDF" w:rsidP="00853BDF">
      <w:r>
        <w:t xml:space="preserve">The mode share targets for </w:t>
      </w:r>
      <w:r w:rsidR="00D10E29">
        <w:t>public transport</w:t>
      </w:r>
      <w:r>
        <w:t xml:space="preserve"> in Hanoi are very ambitious. Achieving them in full, or even in significant part, will require a major shift of travellers from motorcycles to </w:t>
      </w:r>
      <w:r w:rsidR="00D10E29">
        <w:t>public transport</w:t>
      </w:r>
      <w:r>
        <w:t xml:space="preserve"> and containment in the rise in car use. The World Bank commissioned a research study to gain a better understanding of the factors that influence mode choice of travellers in Hanoi. The research </w:t>
      </w:r>
      <w:r w:rsidR="00E73748">
        <w:t xml:space="preserve">also </w:t>
      </w:r>
      <w:r>
        <w:t>examine</w:t>
      </w:r>
      <w:r w:rsidR="00E73748">
        <w:t>d</w:t>
      </w:r>
      <w:r>
        <w:t xml:space="preserve"> matters related to improving traffic management and road safety. The </w:t>
      </w:r>
      <w:r w:rsidR="008E4BF1">
        <w:t xml:space="preserve">purpose of the </w:t>
      </w:r>
      <w:r>
        <w:t xml:space="preserve">research </w:t>
      </w:r>
      <w:r w:rsidR="008E4BF1">
        <w:t xml:space="preserve">was to provide evidence-based information that the </w:t>
      </w:r>
      <w:r>
        <w:t xml:space="preserve">government </w:t>
      </w:r>
      <w:r w:rsidR="008E4BF1">
        <w:t xml:space="preserve">could use </w:t>
      </w:r>
      <w:r>
        <w:t>to refine its policies and practices as it seeks to secure the desired future for passenger transport in Hanoi. The</w:t>
      </w:r>
      <w:r w:rsidR="008E4BF1">
        <w:t xml:space="preserve"> research was</w:t>
      </w:r>
      <w:r>
        <w:t xml:space="preserve"> undertaken by consultants in association with </w:t>
      </w:r>
      <w:r w:rsidR="008E4BF1">
        <w:t xml:space="preserve">Vietnamese </w:t>
      </w:r>
      <w:r w:rsidR="009F257B">
        <w:t>u</w:t>
      </w:r>
      <w:r>
        <w:t>niversities and with guidance and oversight from World Ba</w:t>
      </w:r>
      <w:r w:rsidR="008E4BF1">
        <w:t>nk staff (</w:t>
      </w:r>
      <w:r w:rsidR="00AF40B1" w:rsidRPr="00AF40B1">
        <w:t xml:space="preserve">Economic and Policy Services Pty Ltd </w:t>
      </w:r>
      <w:r w:rsidR="008E4BF1">
        <w:t>et al</w:t>
      </w:r>
      <w:r w:rsidR="00140D39">
        <w:t>,</w:t>
      </w:r>
      <w:r w:rsidR="008E4BF1">
        <w:t xml:space="preserve"> 2014).</w:t>
      </w:r>
    </w:p>
    <w:p w14:paraId="7E005884" w14:textId="3FC73559" w:rsidR="00853BDF" w:rsidRDefault="00853BDF" w:rsidP="00853BDF">
      <w:r>
        <w:t xml:space="preserve">The research included an initial stage to assemble a comprehensive understanding of passenger transport in Hanoi and to conduct focus groups. </w:t>
      </w:r>
      <w:r w:rsidR="00CB3EA1" w:rsidRPr="00CB3EA1">
        <w:t xml:space="preserve">Six focus groups were conducted, each with </w:t>
      </w:r>
      <w:r w:rsidR="00002089">
        <w:t>around</w:t>
      </w:r>
      <w:r w:rsidR="00CB3EA1" w:rsidRPr="00CB3EA1">
        <w:t xml:space="preserve"> 10 </w:t>
      </w:r>
      <w:r w:rsidR="00002089">
        <w:t xml:space="preserve">representatives </w:t>
      </w:r>
      <w:r w:rsidR="00CB3EA1" w:rsidRPr="00CB3EA1">
        <w:t xml:space="preserve">of </w:t>
      </w:r>
      <w:r w:rsidR="00002089">
        <w:t xml:space="preserve">a specific social group, </w:t>
      </w:r>
      <w:r w:rsidR="00CB3EA1" w:rsidRPr="00CB3EA1">
        <w:t xml:space="preserve">to identify key issues additional </w:t>
      </w:r>
      <w:r w:rsidR="00CB3EA1" w:rsidRPr="00CB3EA1">
        <w:lastRenderedPageBreak/>
        <w:t>to literature review findings on motorcycle ownership and use to be addressed in surveys with relevant attributes.</w:t>
      </w:r>
      <w:r w:rsidR="00CB3EA1">
        <w:t xml:space="preserve"> </w:t>
      </w:r>
      <w:r>
        <w:t xml:space="preserve">Subsequently, major surveys of </w:t>
      </w:r>
      <w:r w:rsidR="0002590F">
        <w:t xml:space="preserve">moto use, </w:t>
      </w:r>
      <w:r>
        <w:t xml:space="preserve">traveller views and traffic management </w:t>
      </w:r>
      <w:r w:rsidR="0002590F">
        <w:t xml:space="preserve">were </w:t>
      </w:r>
      <w:r>
        <w:t xml:space="preserve">been undertaken. This paper </w:t>
      </w:r>
      <w:r w:rsidR="00E73748">
        <w:t xml:space="preserve">reports on the results of the surveys of </w:t>
      </w:r>
      <w:r w:rsidR="0002590F">
        <w:t xml:space="preserve">moto use and </w:t>
      </w:r>
      <w:r w:rsidR="00E73748">
        <w:t xml:space="preserve">travel behaviour, including </w:t>
      </w:r>
      <w:r>
        <w:t>establish</w:t>
      </w:r>
      <w:r w:rsidR="00E73748">
        <w:t>ing</w:t>
      </w:r>
      <w:r>
        <w:t xml:space="preserve"> a discrete choice modelling framework with the ability to represent mode choice by differing populations within the wider community of Hanoi. </w:t>
      </w:r>
    </w:p>
    <w:p w14:paraId="55995D68" w14:textId="32BD823A" w:rsidR="0002590F" w:rsidRDefault="0002590F" w:rsidP="00853BDF">
      <w:r>
        <w:t xml:space="preserve">The moto use survey involved observation surveys </w:t>
      </w:r>
      <w:r w:rsidRPr="0002590F">
        <w:t>for three 2-hour periods (during the morning peak, a period after the morning peak and during the evening peak)</w:t>
      </w:r>
      <w:r>
        <w:t xml:space="preserve"> at five locations in Hanoi. </w:t>
      </w:r>
      <w:r w:rsidR="00832D85">
        <w:t>L</w:t>
      </w:r>
      <w:r w:rsidR="00CB3EA1" w:rsidRPr="00CB3EA1">
        <w:t xml:space="preserve">ocations </w:t>
      </w:r>
      <w:r w:rsidR="00832D85">
        <w:t xml:space="preserve">were selected </w:t>
      </w:r>
      <w:r w:rsidR="00CB3EA1" w:rsidRPr="00CB3EA1">
        <w:t>throughout Hanoi with varying degrees of traffic volume</w:t>
      </w:r>
      <w:r w:rsidR="00832D85">
        <w:t xml:space="preserve"> and</w:t>
      </w:r>
      <w:r w:rsidR="00CB3EA1" w:rsidRPr="00CB3EA1">
        <w:t xml:space="preserve"> servicing key routes in the city.</w:t>
      </w:r>
      <w:r w:rsidR="00832D85">
        <w:t xml:space="preserve"> </w:t>
      </w:r>
      <w:r>
        <w:t xml:space="preserve">A </w:t>
      </w:r>
      <w:r w:rsidRPr="0002590F">
        <w:t xml:space="preserve">total of 91,000 vehicles </w:t>
      </w:r>
      <w:r>
        <w:t xml:space="preserve">were </w:t>
      </w:r>
      <w:r w:rsidRPr="0002590F">
        <w:t>observed</w:t>
      </w:r>
      <w:r>
        <w:t>.</w:t>
      </w:r>
    </w:p>
    <w:p w14:paraId="6E50B42A" w14:textId="26BCE326" w:rsidR="00853BDF" w:rsidRDefault="008E4BF1" w:rsidP="00853BDF">
      <w:r>
        <w:t xml:space="preserve">Based on </w:t>
      </w:r>
      <w:r w:rsidR="00853BDF">
        <w:t xml:space="preserve">the objectives of the study and the findings from the focus groups, two </w:t>
      </w:r>
      <w:r w:rsidR="0002590F">
        <w:t xml:space="preserve">travel behaviour </w:t>
      </w:r>
      <w:r w:rsidR="00853BDF">
        <w:t xml:space="preserve">surveys were developed. Both surveys were implemented using students </w:t>
      </w:r>
      <w:r w:rsidR="00853BDF" w:rsidRPr="009F257B">
        <w:t>from the University of Transport and Communications in Hanoi, under the management of academic staff</w:t>
      </w:r>
      <w:r w:rsidR="00853BDF">
        <w:t>, to conduct face-to-face surveys with respondents using paper-based forms. This approach was judged to allow better management of sa</w:t>
      </w:r>
      <w:r w:rsidR="007413A8">
        <w:t>mpling rates and survey quality</w:t>
      </w:r>
      <w:r w:rsidR="00853BDF">
        <w:t xml:space="preserve"> and to be more appropriate to local conditions than use of internet or computer based approaches.</w:t>
      </w:r>
      <w:r w:rsidR="00832D85">
        <w:t xml:space="preserve"> </w:t>
      </w:r>
      <w:r w:rsidR="00832D85" w:rsidRPr="00832D85">
        <w:t xml:space="preserve">Respondents for the interview surveys were approached at locations in all of </w:t>
      </w:r>
      <w:r w:rsidR="00832D85">
        <w:t>Hanoi’s 21</w:t>
      </w:r>
      <w:r w:rsidR="00832D85" w:rsidRPr="00832D85">
        <w:t xml:space="preserve"> districts, as interviewers invited them to participate on the spot. Monitoring of survey responses ensured that profiles for attributes such as age and gender were continually matched to census profiles.</w:t>
      </w:r>
      <w:r w:rsidR="00853BDF">
        <w:t xml:space="preserve"> In both surveys, respondents were given a gift of a pen to acknowledge their participation. Respondents were also generally willing to provide contact details, which were used to follow up respondents on a sample basis to ensure that the surveys had been conducted appropriately. Pilot tests were used to ensure that the survey forms and arrangements used in the full deployment task were robust and efficient.</w:t>
      </w:r>
    </w:p>
    <w:p w14:paraId="291CA4F9" w14:textId="55C07302" w:rsidR="00853BDF" w:rsidRDefault="00853BDF" w:rsidP="00853BDF">
      <w:r>
        <w:t xml:space="preserve">The objective of the first survey, described here as the mode choice survey, was to establish statistically valid explanations for quantitative factors that influence the discrete choice decision to use a motorcycle or some other mode of transport taking account of key variables that are open to policy influence (Table 1). They survey was primarily a stated preference (SP) survey design enhanced with inclusions for revealed preferences. Such a design allows for the development of the required database with representations for the motorized modes of motorcycle, car, taxi, bus and the proposed rapid </w:t>
      </w:r>
      <w:r w:rsidR="00D10E29">
        <w:t>public transport</w:t>
      </w:r>
      <w:r>
        <w:t xml:space="preserve"> modes (i.e. MRT and BRT). The latter was made generic because neither exists at present and the community therefore has limited precise understanding of the service characteristics that MRT and BRT will provide.</w:t>
      </w:r>
      <w:r w:rsidR="00B8010A" w:rsidRPr="00B8010A">
        <w:t xml:space="preserve"> </w:t>
      </w:r>
      <w:r w:rsidR="00B8010A">
        <w:t>Chosen attributes and levels f</w:t>
      </w:r>
      <w:r w:rsidR="00B8010A" w:rsidRPr="00B8010A">
        <w:t xml:space="preserve">ocus on the most significant parameters </w:t>
      </w:r>
      <w:r w:rsidR="00B8010A">
        <w:t xml:space="preserve">identified in literature and focus groups </w:t>
      </w:r>
      <w:r w:rsidR="00002089">
        <w:t xml:space="preserve">relevant </w:t>
      </w:r>
      <w:r w:rsidR="00B8010A" w:rsidRPr="00B8010A">
        <w:t xml:space="preserve">to </w:t>
      </w:r>
      <w:r w:rsidR="00002089">
        <w:t xml:space="preserve">moto </w:t>
      </w:r>
      <w:r w:rsidR="00B8010A" w:rsidRPr="00B8010A">
        <w:t>policy development and implementation strategies.</w:t>
      </w:r>
    </w:p>
    <w:p w14:paraId="16C3FF6C" w14:textId="77777777" w:rsidR="00DB7005" w:rsidRDefault="00DB7005" w:rsidP="00DB7005">
      <w:r>
        <w:t>To provide a dataset with the greatest potential to given insight into travel choice and sound discrete choice model calibration without overburdening survey respondents, the survey design included:</w:t>
      </w:r>
    </w:p>
    <w:p w14:paraId="782A948B" w14:textId="77777777" w:rsidR="00DB7005" w:rsidRPr="009A403B" w:rsidRDefault="00DB7005" w:rsidP="00DB7005">
      <w:pPr>
        <w:pStyle w:val="ListBullet"/>
        <w:ind w:left="568" w:hanging="284"/>
      </w:pPr>
      <w:r>
        <w:t xml:space="preserve">Each survey collected information on matters such as </w:t>
      </w:r>
      <w:r w:rsidRPr="00F90A42">
        <w:t>gender, household size</w:t>
      </w:r>
      <w:r>
        <w:t>,</w:t>
      </w:r>
      <w:r w:rsidRPr="00F90A42">
        <w:t xml:space="preserve"> structure</w:t>
      </w:r>
      <w:r>
        <w:t xml:space="preserve"> and income</w:t>
      </w:r>
      <w:r w:rsidRPr="00F90A42">
        <w:t>, housing type and vehicle ownership</w:t>
      </w:r>
      <w:r w:rsidRPr="00AF3B3B">
        <w:t xml:space="preserve"> </w:t>
      </w:r>
      <w:r>
        <w:t xml:space="preserve">to allow the </w:t>
      </w:r>
      <w:r w:rsidRPr="00F90A42">
        <w:t xml:space="preserve">influence of socio-economic conditions </w:t>
      </w:r>
      <w:r>
        <w:t>to be determined.</w:t>
      </w:r>
      <w:r w:rsidRPr="00F90A42">
        <w:t xml:space="preserve"> </w:t>
      </w:r>
      <w:r>
        <w:t>This same information was collected in both of the travel behaviour surveys</w:t>
      </w:r>
      <w:r w:rsidRPr="009A403B">
        <w:t xml:space="preserve">. </w:t>
      </w:r>
    </w:p>
    <w:p w14:paraId="14918F2F" w14:textId="77777777" w:rsidR="00DB7005" w:rsidRDefault="00DB7005" w:rsidP="00DB7005">
      <w:pPr>
        <w:pStyle w:val="ListBullet"/>
        <w:ind w:left="568" w:hanging="284"/>
      </w:pPr>
      <w:r>
        <w:t>Respondents were presented with questions related to either a routine trip (such as journeys related to work or education) or a non-routine trip that they made. Equal numbers of surveys were conducted for each of these trip categories to give an adequate statistical sample and to reflect the broadly similar shares of each category of trip in total travel demand. Attributes of their current typical journey including door-to-door travel time were also recorded.</w:t>
      </w:r>
    </w:p>
    <w:p w14:paraId="157AEFFC" w14:textId="174BFC57" w:rsidR="00DB7005" w:rsidRPr="00854EF2" w:rsidRDefault="00DB7005" w:rsidP="00DB7005">
      <w:pPr>
        <w:pStyle w:val="ListBullet"/>
        <w:ind w:left="568" w:hanging="284"/>
      </w:pPr>
      <w:r>
        <w:t>E</w:t>
      </w:r>
      <w:r w:rsidRPr="009A403B">
        <w:t xml:space="preserve">fficient design processes (Rose and </w:t>
      </w:r>
      <w:proofErr w:type="spellStart"/>
      <w:r w:rsidRPr="009A403B">
        <w:t>Bliemer</w:t>
      </w:r>
      <w:proofErr w:type="spellEnd"/>
      <w:r w:rsidRPr="009A403B">
        <w:t>, 2009) with allowances for variable choice set sizes (Rose et al</w:t>
      </w:r>
      <w:r>
        <w:t>,</w:t>
      </w:r>
      <w:r w:rsidRPr="009A403B">
        <w:t xml:space="preserve"> 2013) and the </w:t>
      </w:r>
      <w:proofErr w:type="spellStart"/>
      <w:r w:rsidRPr="009A403B">
        <w:t>NGene</w:t>
      </w:r>
      <w:proofErr w:type="spellEnd"/>
      <w:r w:rsidRPr="009A403B">
        <w:t xml:space="preserve"> software </w:t>
      </w:r>
      <w:r>
        <w:t xml:space="preserve">(Choice Metrics 2012) determined that a minimum of 24 stated preference (SP) scenarios were required to address the </w:t>
      </w:r>
      <w:r>
        <w:lastRenderedPageBreak/>
        <w:t xml:space="preserve">choice variables. It was judged, following initial trialling of the survey, that respondents could typically accommodate a maximum of 9 </w:t>
      </w:r>
      <w:r w:rsidRPr="00854EF2">
        <w:t>scenarios. Accordingly, six survey forms were used for each of the two trip types, with the SP scenarios in each including 6 core scenarios and 3 of the remaining 18 scenarios. To avoid bias that could result from respondents tiring of the scenarios as they completed the survey, each of the 12 survey forms comprised two versions, one with the scenarios in one order and the other with the order reversed.</w:t>
      </w:r>
    </w:p>
    <w:p w14:paraId="28554215" w14:textId="77777777" w:rsidR="00DB7005" w:rsidRDefault="00DB7005" w:rsidP="00DB7005">
      <w:r>
        <w:t>Once interpreted into the survey questionnaire, choice scenarios were presented with the general appearance as shown in Figure 2.</w:t>
      </w:r>
    </w:p>
    <w:p w14:paraId="4AF1A5B8" w14:textId="7C517A87" w:rsidR="000B1CF1" w:rsidRPr="009F257B" w:rsidRDefault="000B1CF1" w:rsidP="009F257B">
      <w:pPr>
        <w:pStyle w:val="Captionstyle"/>
      </w:pPr>
      <w:r w:rsidRPr="009F257B">
        <w:t xml:space="preserve">Table 1: Potential </w:t>
      </w:r>
      <w:r w:rsidR="00DB7005">
        <w:t>t</w:t>
      </w:r>
      <w:r w:rsidRPr="009F257B">
        <w:t xml:space="preserve">rip </w:t>
      </w:r>
      <w:r w:rsidR="00DB7005">
        <w:t>a</w:t>
      </w:r>
      <w:r w:rsidRPr="009F257B">
        <w:t xml:space="preserve">lternatives and </w:t>
      </w:r>
      <w:r w:rsidR="00DB7005">
        <w:t>a</w:t>
      </w:r>
      <w:r w:rsidRPr="009F257B">
        <w:t xml:space="preserve">ttributes for the </w:t>
      </w:r>
      <w:r w:rsidR="00DB7005">
        <w:t>s</w:t>
      </w:r>
      <w:r w:rsidRPr="009F257B">
        <w:t xml:space="preserve">tated </w:t>
      </w:r>
      <w:r w:rsidR="00DB7005">
        <w:t>p</w:t>
      </w:r>
      <w:r w:rsidRPr="009F257B">
        <w:t xml:space="preserve">reference </w:t>
      </w:r>
      <w:r w:rsidR="00DB7005">
        <w:t>s</w:t>
      </w:r>
      <w:r w:rsidRPr="009F257B">
        <w:t>urvey</w:t>
      </w:r>
    </w:p>
    <w:tbl>
      <w:tblPr>
        <w:tblStyle w:val="TableGrid1"/>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Look w:val="04A0" w:firstRow="1" w:lastRow="0" w:firstColumn="1" w:lastColumn="0" w:noHBand="0" w:noVBand="1"/>
      </w:tblPr>
      <w:tblGrid>
        <w:gridCol w:w="1838"/>
        <w:gridCol w:w="3119"/>
        <w:gridCol w:w="4104"/>
      </w:tblGrid>
      <w:tr w:rsidR="00B8010A" w:rsidRPr="00B8010A" w14:paraId="7DC4C826" w14:textId="77777777" w:rsidTr="0053604B">
        <w:trPr>
          <w:jc w:val="center"/>
        </w:trPr>
        <w:tc>
          <w:tcPr>
            <w:tcW w:w="1838" w:type="dxa"/>
            <w:shd w:val="clear" w:color="auto" w:fill="auto"/>
          </w:tcPr>
          <w:p w14:paraId="5BBE3A8E" w14:textId="77777777" w:rsidR="00D65E5D" w:rsidRPr="0053604B" w:rsidRDefault="00D65E5D" w:rsidP="00B8010A">
            <w:pPr>
              <w:pStyle w:val="Normaltable"/>
              <w:rPr>
                <w:rFonts w:cs="Arial"/>
                <w:b/>
                <w:sz w:val="18"/>
                <w:szCs w:val="18"/>
              </w:rPr>
            </w:pPr>
            <w:r w:rsidRPr="0053604B">
              <w:rPr>
                <w:rFonts w:cs="Arial"/>
                <w:b/>
                <w:sz w:val="18"/>
                <w:szCs w:val="18"/>
              </w:rPr>
              <w:t>Travel Alternative</w:t>
            </w:r>
          </w:p>
        </w:tc>
        <w:tc>
          <w:tcPr>
            <w:tcW w:w="3119" w:type="dxa"/>
            <w:shd w:val="clear" w:color="auto" w:fill="auto"/>
          </w:tcPr>
          <w:p w14:paraId="2BD942B6" w14:textId="77777777" w:rsidR="00D65E5D" w:rsidRPr="0053604B" w:rsidRDefault="00D65E5D" w:rsidP="00B8010A">
            <w:pPr>
              <w:pStyle w:val="Normaltable"/>
              <w:rPr>
                <w:rFonts w:cs="Arial"/>
                <w:b/>
                <w:sz w:val="18"/>
                <w:szCs w:val="18"/>
                <w:vertAlign w:val="superscript"/>
              </w:rPr>
            </w:pPr>
            <w:r w:rsidRPr="0053604B">
              <w:rPr>
                <w:rFonts w:cs="Arial"/>
                <w:b/>
                <w:sz w:val="18"/>
                <w:szCs w:val="18"/>
              </w:rPr>
              <w:t>Attribute variables</w:t>
            </w:r>
          </w:p>
        </w:tc>
        <w:tc>
          <w:tcPr>
            <w:tcW w:w="4104" w:type="dxa"/>
          </w:tcPr>
          <w:p w14:paraId="48E113E3" w14:textId="77777777" w:rsidR="00D65E5D" w:rsidRPr="0053604B" w:rsidRDefault="00D65E5D" w:rsidP="00B8010A">
            <w:pPr>
              <w:pStyle w:val="Normaltable"/>
              <w:rPr>
                <w:rFonts w:cs="Arial"/>
                <w:b/>
                <w:sz w:val="18"/>
                <w:szCs w:val="18"/>
              </w:rPr>
            </w:pPr>
            <w:r w:rsidRPr="0053604B">
              <w:rPr>
                <w:rFonts w:cs="Arial"/>
                <w:b/>
                <w:sz w:val="18"/>
                <w:szCs w:val="18"/>
              </w:rPr>
              <w:t>Attribute Level Range</w:t>
            </w:r>
          </w:p>
        </w:tc>
      </w:tr>
      <w:tr w:rsidR="00B8010A" w:rsidRPr="00B8010A" w14:paraId="15FBC8F1" w14:textId="77777777" w:rsidTr="0053604B">
        <w:trPr>
          <w:trHeight w:val="205"/>
          <w:jc w:val="center"/>
        </w:trPr>
        <w:tc>
          <w:tcPr>
            <w:tcW w:w="1838" w:type="dxa"/>
            <w:vMerge w:val="restart"/>
            <w:shd w:val="clear" w:color="auto" w:fill="auto"/>
          </w:tcPr>
          <w:p w14:paraId="013F4E19" w14:textId="6E7BD89C" w:rsidR="00D65E5D" w:rsidRPr="0053604B" w:rsidRDefault="00D65E5D" w:rsidP="00B8010A">
            <w:pPr>
              <w:pStyle w:val="Normaltable"/>
              <w:rPr>
                <w:rFonts w:cs="Arial"/>
                <w:sz w:val="18"/>
                <w:szCs w:val="18"/>
              </w:rPr>
            </w:pPr>
            <w:r w:rsidRPr="0053604B">
              <w:rPr>
                <w:rFonts w:cs="Arial"/>
                <w:b/>
                <w:i/>
                <w:sz w:val="18"/>
                <w:szCs w:val="18"/>
              </w:rPr>
              <w:t>Motorcycle</w:t>
            </w:r>
          </w:p>
        </w:tc>
        <w:tc>
          <w:tcPr>
            <w:tcW w:w="3119" w:type="dxa"/>
            <w:shd w:val="clear" w:color="auto" w:fill="auto"/>
          </w:tcPr>
          <w:p w14:paraId="74A3C4F5"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Cost of fuel</w:t>
            </w:r>
          </w:p>
        </w:tc>
        <w:tc>
          <w:tcPr>
            <w:tcW w:w="4104" w:type="dxa"/>
            <w:shd w:val="clear" w:color="auto" w:fill="auto"/>
          </w:tcPr>
          <w:p w14:paraId="49C7EDD4" w14:textId="43E991E1"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No change </w:t>
            </w:r>
            <w:r w:rsidRPr="0053604B">
              <w:rPr>
                <w:rFonts w:ascii="Arial" w:hAnsi="Arial" w:cs="Arial"/>
                <w:i/>
                <w:sz w:val="18"/>
                <w:szCs w:val="18"/>
              </w:rPr>
              <w:t>to</w:t>
            </w:r>
            <w:r w:rsidRPr="0053604B">
              <w:rPr>
                <w:rFonts w:ascii="Arial" w:hAnsi="Arial" w:cs="Arial"/>
                <w:sz w:val="18"/>
                <w:szCs w:val="18"/>
              </w:rPr>
              <w:t xml:space="preserve"> 5,000VND</w:t>
            </w:r>
            <w:r w:rsidR="003601B2">
              <w:rPr>
                <w:rFonts w:ascii="Arial" w:hAnsi="Arial" w:cs="Arial"/>
                <w:sz w:val="18"/>
                <w:szCs w:val="18"/>
              </w:rPr>
              <w:t xml:space="preserve"> (Vietnamese Dong)</w:t>
            </w:r>
            <w:r w:rsidRPr="0053604B">
              <w:rPr>
                <w:rFonts w:ascii="Arial" w:hAnsi="Arial" w:cs="Arial"/>
                <w:sz w:val="18"/>
                <w:szCs w:val="18"/>
              </w:rPr>
              <w:t>/km</w:t>
            </w:r>
          </w:p>
        </w:tc>
      </w:tr>
      <w:tr w:rsidR="00B8010A" w:rsidRPr="00B8010A" w14:paraId="31F1357E" w14:textId="77777777" w:rsidTr="0053604B">
        <w:trPr>
          <w:trHeight w:val="223"/>
          <w:jc w:val="center"/>
        </w:trPr>
        <w:tc>
          <w:tcPr>
            <w:tcW w:w="1838" w:type="dxa"/>
            <w:vMerge/>
            <w:shd w:val="clear" w:color="auto" w:fill="auto"/>
          </w:tcPr>
          <w:p w14:paraId="775880BE" w14:textId="77777777" w:rsidR="00D65E5D" w:rsidRPr="0053604B" w:rsidRDefault="00D65E5D" w:rsidP="00B8010A">
            <w:pPr>
              <w:pStyle w:val="Normaltable"/>
              <w:rPr>
                <w:rFonts w:cs="Arial"/>
                <w:sz w:val="18"/>
                <w:szCs w:val="18"/>
              </w:rPr>
            </w:pPr>
          </w:p>
        </w:tc>
        <w:tc>
          <w:tcPr>
            <w:tcW w:w="3119" w:type="dxa"/>
            <w:shd w:val="clear" w:color="auto" w:fill="auto"/>
          </w:tcPr>
          <w:p w14:paraId="194FE5E6"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Cost of parking</w:t>
            </w:r>
          </w:p>
        </w:tc>
        <w:tc>
          <w:tcPr>
            <w:tcW w:w="4104" w:type="dxa"/>
            <w:shd w:val="clear" w:color="auto" w:fill="auto"/>
          </w:tcPr>
          <w:p w14:paraId="2933592F" w14:textId="2113B30A"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Free </w:t>
            </w:r>
            <w:r w:rsidRPr="0053604B">
              <w:rPr>
                <w:rFonts w:ascii="Arial" w:hAnsi="Arial" w:cs="Arial"/>
                <w:i/>
                <w:sz w:val="18"/>
                <w:szCs w:val="18"/>
              </w:rPr>
              <w:t>to</w:t>
            </w:r>
            <w:r w:rsidRPr="0053604B">
              <w:rPr>
                <w:rFonts w:ascii="Arial" w:hAnsi="Arial" w:cs="Arial"/>
                <w:sz w:val="18"/>
                <w:szCs w:val="18"/>
              </w:rPr>
              <w:t xml:space="preserve"> 20,000VND</w:t>
            </w:r>
          </w:p>
        </w:tc>
      </w:tr>
      <w:tr w:rsidR="00B8010A" w:rsidRPr="00B8010A" w14:paraId="0FC019F8" w14:textId="77777777" w:rsidTr="0053604B">
        <w:trPr>
          <w:trHeight w:val="199"/>
          <w:jc w:val="center"/>
        </w:trPr>
        <w:tc>
          <w:tcPr>
            <w:tcW w:w="1838" w:type="dxa"/>
            <w:vMerge/>
            <w:shd w:val="clear" w:color="auto" w:fill="auto"/>
          </w:tcPr>
          <w:p w14:paraId="0D9DFF50" w14:textId="77777777" w:rsidR="00D65E5D" w:rsidRPr="0053604B" w:rsidRDefault="00D65E5D" w:rsidP="00B8010A">
            <w:pPr>
              <w:pStyle w:val="Normaltable"/>
              <w:rPr>
                <w:rFonts w:cs="Arial"/>
                <w:sz w:val="18"/>
                <w:szCs w:val="18"/>
              </w:rPr>
            </w:pPr>
          </w:p>
        </w:tc>
        <w:tc>
          <w:tcPr>
            <w:tcW w:w="3119" w:type="dxa"/>
            <w:shd w:val="clear" w:color="auto" w:fill="auto"/>
          </w:tcPr>
          <w:p w14:paraId="0158600E"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Door-to-door travel time</w:t>
            </w:r>
          </w:p>
        </w:tc>
        <w:tc>
          <w:tcPr>
            <w:tcW w:w="4104" w:type="dxa"/>
            <w:shd w:val="clear" w:color="auto" w:fill="auto"/>
          </w:tcPr>
          <w:p w14:paraId="3669B135" w14:textId="6CF7C759"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50% decrease </w:t>
            </w:r>
            <w:r w:rsidRPr="0053604B">
              <w:rPr>
                <w:rFonts w:ascii="Arial" w:hAnsi="Arial" w:cs="Arial"/>
                <w:i/>
                <w:sz w:val="18"/>
                <w:szCs w:val="18"/>
              </w:rPr>
              <w:t>to</w:t>
            </w:r>
            <w:r w:rsidRPr="0053604B">
              <w:rPr>
                <w:rFonts w:ascii="Arial" w:hAnsi="Arial" w:cs="Arial"/>
                <w:sz w:val="18"/>
                <w:szCs w:val="18"/>
              </w:rPr>
              <w:t xml:space="preserve"> 100% increase</w:t>
            </w:r>
          </w:p>
        </w:tc>
      </w:tr>
      <w:tr w:rsidR="00B8010A" w:rsidRPr="00B8010A" w14:paraId="0451236B" w14:textId="77777777" w:rsidTr="0053604B">
        <w:trPr>
          <w:trHeight w:val="218"/>
          <w:jc w:val="center"/>
        </w:trPr>
        <w:tc>
          <w:tcPr>
            <w:tcW w:w="1838" w:type="dxa"/>
            <w:vMerge w:val="restart"/>
            <w:shd w:val="clear" w:color="auto" w:fill="auto"/>
          </w:tcPr>
          <w:p w14:paraId="3DF15333" w14:textId="77777777" w:rsidR="00D65E5D" w:rsidRPr="0053604B" w:rsidRDefault="00D65E5D" w:rsidP="00B8010A">
            <w:pPr>
              <w:pStyle w:val="Normaltable"/>
              <w:rPr>
                <w:rFonts w:cs="Arial"/>
                <w:b/>
                <w:i/>
                <w:sz w:val="18"/>
                <w:szCs w:val="18"/>
              </w:rPr>
            </w:pPr>
            <w:r w:rsidRPr="0053604B">
              <w:rPr>
                <w:rFonts w:cs="Arial"/>
                <w:b/>
                <w:i/>
                <w:sz w:val="18"/>
                <w:szCs w:val="18"/>
              </w:rPr>
              <w:t>Car</w:t>
            </w:r>
          </w:p>
        </w:tc>
        <w:tc>
          <w:tcPr>
            <w:tcW w:w="3119" w:type="dxa"/>
            <w:shd w:val="clear" w:color="auto" w:fill="auto"/>
          </w:tcPr>
          <w:p w14:paraId="6E119268"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Cost of fuel</w:t>
            </w:r>
          </w:p>
        </w:tc>
        <w:tc>
          <w:tcPr>
            <w:tcW w:w="4104" w:type="dxa"/>
            <w:shd w:val="clear" w:color="auto" w:fill="auto"/>
          </w:tcPr>
          <w:p w14:paraId="332A998A" w14:textId="395361C2"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No change </w:t>
            </w:r>
            <w:r w:rsidRPr="0053604B">
              <w:rPr>
                <w:rFonts w:ascii="Arial" w:hAnsi="Arial" w:cs="Arial"/>
                <w:i/>
                <w:sz w:val="18"/>
                <w:szCs w:val="18"/>
              </w:rPr>
              <w:t>to</w:t>
            </w:r>
            <w:r w:rsidRPr="0053604B">
              <w:rPr>
                <w:rFonts w:ascii="Arial" w:hAnsi="Arial" w:cs="Arial"/>
                <w:sz w:val="18"/>
                <w:szCs w:val="18"/>
              </w:rPr>
              <w:t xml:space="preserve"> 1,600VND/km</w:t>
            </w:r>
          </w:p>
        </w:tc>
      </w:tr>
      <w:tr w:rsidR="00B8010A" w:rsidRPr="00B8010A" w14:paraId="76DD7EB7" w14:textId="77777777" w:rsidTr="0053604B">
        <w:trPr>
          <w:trHeight w:val="221"/>
          <w:jc w:val="center"/>
        </w:trPr>
        <w:tc>
          <w:tcPr>
            <w:tcW w:w="1838" w:type="dxa"/>
            <w:vMerge/>
            <w:shd w:val="clear" w:color="auto" w:fill="auto"/>
          </w:tcPr>
          <w:p w14:paraId="37C88302" w14:textId="77777777" w:rsidR="00D65E5D" w:rsidRPr="0053604B" w:rsidRDefault="00D65E5D" w:rsidP="00B8010A">
            <w:pPr>
              <w:pStyle w:val="Normaltable"/>
              <w:rPr>
                <w:rFonts w:cs="Arial"/>
                <w:sz w:val="18"/>
                <w:szCs w:val="18"/>
              </w:rPr>
            </w:pPr>
          </w:p>
        </w:tc>
        <w:tc>
          <w:tcPr>
            <w:tcW w:w="3119" w:type="dxa"/>
            <w:shd w:val="clear" w:color="auto" w:fill="auto"/>
          </w:tcPr>
          <w:p w14:paraId="2256B3FA"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Cost of parking</w:t>
            </w:r>
          </w:p>
        </w:tc>
        <w:tc>
          <w:tcPr>
            <w:tcW w:w="4104" w:type="dxa"/>
            <w:shd w:val="clear" w:color="auto" w:fill="auto"/>
          </w:tcPr>
          <w:p w14:paraId="734345E6" w14:textId="5FAD1623"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Free </w:t>
            </w:r>
            <w:r w:rsidRPr="0053604B">
              <w:rPr>
                <w:rFonts w:ascii="Arial" w:hAnsi="Arial" w:cs="Arial"/>
                <w:i/>
                <w:sz w:val="18"/>
                <w:szCs w:val="18"/>
              </w:rPr>
              <w:t>to</w:t>
            </w:r>
            <w:r w:rsidRPr="0053604B">
              <w:rPr>
                <w:rFonts w:ascii="Arial" w:hAnsi="Arial" w:cs="Arial"/>
                <w:sz w:val="18"/>
                <w:szCs w:val="18"/>
              </w:rPr>
              <w:t xml:space="preserve"> 80,000VND</w:t>
            </w:r>
          </w:p>
        </w:tc>
      </w:tr>
      <w:tr w:rsidR="00B8010A" w:rsidRPr="00B8010A" w14:paraId="6FD901BA" w14:textId="77777777" w:rsidTr="0053604B">
        <w:trPr>
          <w:trHeight w:val="211"/>
          <w:jc w:val="center"/>
        </w:trPr>
        <w:tc>
          <w:tcPr>
            <w:tcW w:w="1838" w:type="dxa"/>
            <w:vMerge/>
            <w:shd w:val="clear" w:color="auto" w:fill="auto"/>
          </w:tcPr>
          <w:p w14:paraId="2A531D8E" w14:textId="77777777" w:rsidR="00D65E5D" w:rsidRPr="0053604B" w:rsidRDefault="00D65E5D" w:rsidP="00B8010A">
            <w:pPr>
              <w:pStyle w:val="Normaltable"/>
              <w:rPr>
                <w:rFonts w:cs="Arial"/>
                <w:sz w:val="18"/>
                <w:szCs w:val="18"/>
              </w:rPr>
            </w:pPr>
          </w:p>
        </w:tc>
        <w:tc>
          <w:tcPr>
            <w:tcW w:w="3119" w:type="dxa"/>
            <w:shd w:val="clear" w:color="auto" w:fill="auto"/>
          </w:tcPr>
          <w:p w14:paraId="51A199CA"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Door-to-door travel time</w:t>
            </w:r>
          </w:p>
        </w:tc>
        <w:tc>
          <w:tcPr>
            <w:tcW w:w="4104" w:type="dxa"/>
            <w:shd w:val="clear" w:color="auto" w:fill="auto"/>
          </w:tcPr>
          <w:p w14:paraId="3F95C5FB" w14:textId="5FCB05B0"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50% decrease </w:t>
            </w:r>
            <w:r w:rsidRPr="0053604B">
              <w:rPr>
                <w:rFonts w:ascii="Arial" w:hAnsi="Arial" w:cs="Arial"/>
                <w:i/>
                <w:sz w:val="18"/>
                <w:szCs w:val="18"/>
              </w:rPr>
              <w:t>to</w:t>
            </w:r>
            <w:r w:rsidRPr="0053604B">
              <w:rPr>
                <w:rFonts w:ascii="Arial" w:hAnsi="Arial" w:cs="Arial"/>
                <w:sz w:val="18"/>
                <w:szCs w:val="18"/>
              </w:rPr>
              <w:t xml:space="preserve"> 100% increase</w:t>
            </w:r>
          </w:p>
        </w:tc>
      </w:tr>
      <w:tr w:rsidR="00B8010A" w:rsidRPr="00B8010A" w14:paraId="06474E42" w14:textId="77777777" w:rsidTr="0053604B">
        <w:trPr>
          <w:trHeight w:val="229"/>
          <w:jc w:val="center"/>
        </w:trPr>
        <w:tc>
          <w:tcPr>
            <w:tcW w:w="1838" w:type="dxa"/>
            <w:vMerge w:val="restart"/>
            <w:shd w:val="clear" w:color="auto" w:fill="auto"/>
          </w:tcPr>
          <w:p w14:paraId="73242AB6" w14:textId="2031C582" w:rsidR="00D65E5D" w:rsidRPr="0053604B" w:rsidRDefault="00D65E5D" w:rsidP="00B8010A">
            <w:pPr>
              <w:pStyle w:val="Normaltable"/>
              <w:rPr>
                <w:rFonts w:cs="Arial"/>
                <w:sz w:val="18"/>
                <w:szCs w:val="18"/>
              </w:rPr>
            </w:pPr>
            <w:r w:rsidRPr="0053604B">
              <w:rPr>
                <w:rFonts w:cs="Arial"/>
                <w:b/>
                <w:i/>
                <w:sz w:val="18"/>
                <w:szCs w:val="18"/>
              </w:rPr>
              <w:t>Motorcycle taxi</w:t>
            </w:r>
          </w:p>
        </w:tc>
        <w:tc>
          <w:tcPr>
            <w:tcW w:w="3119" w:type="dxa"/>
            <w:shd w:val="clear" w:color="auto" w:fill="auto"/>
          </w:tcPr>
          <w:p w14:paraId="4D8788EB"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Fare</w:t>
            </w:r>
          </w:p>
        </w:tc>
        <w:tc>
          <w:tcPr>
            <w:tcW w:w="4104" w:type="dxa"/>
            <w:shd w:val="clear" w:color="auto" w:fill="auto"/>
          </w:tcPr>
          <w:p w14:paraId="639C8280" w14:textId="4D2E4D8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10,000 </w:t>
            </w:r>
            <w:r w:rsidRPr="0053604B">
              <w:rPr>
                <w:rFonts w:ascii="Arial" w:hAnsi="Arial" w:cs="Arial"/>
                <w:i/>
                <w:sz w:val="18"/>
                <w:szCs w:val="18"/>
              </w:rPr>
              <w:t>to</w:t>
            </w:r>
            <w:r w:rsidRPr="0053604B">
              <w:rPr>
                <w:rFonts w:ascii="Arial" w:hAnsi="Arial" w:cs="Arial"/>
                <w:sz w:val="18"/>
                <w:szCs w:val="18"/>
              </w:rPr>
              <w:t xml:space="preserve"> 60,000VND</w:t>
            </w:r>
          </w:p>
        </w:tc>
      </w:tr>
      <w:tr w:rsidR="00B8010A" w:rsidRPr="00B8010A" w14:paraId="28783C66" w14:textId="77777777" w:rsidTr="0053604B">
        <w:trPr>
          <w:trHeight w:val="219"/>
          <w:jc w:val="center"/>
        </w:trPr>
        <w:tc>
          <w:tcPr>
            <w:tcW w:w="1838" w:type="dxa"/>
            <w:vMerge/>
            <w:shd w:val="clear" w:color="auto" w:fill="auto"/>
          </w:tcPr>
          <w:p w14:paraId="7891E0B6" w14:textId="77777777" w:rsidR="00D65E5D" w:rsidRPr="0053604B" w:rsidRDefault="00D65E5D" w:rsidP="00B8010A">
            <w:pPr>
              <w:pStyle w:val="Normaltable"/>
              <w:rPr>
                <w:rFonts w:cs="Arial"/>
                <w:sz w:val="18"/>
                <w:szCs w:val="18"/>
              </w:rPr>
            </w:pPr>
          </w:p>
        </w:tc>
        <w:tc>
          <w:tcPr>
            <w:tcW w:w="3119" w:type="dxa"/>
            <w:shd w:val="clear" w:color="auto" w:fill="auto"/>
          </w:tcPr>
          <w:p w14:paraId="0F66A2CD"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Door-to-door travel time</w:t>
            </w:r>
          </w:p>
        </w:tc>
        <w:tc>
          <w:tcPr>
            <w:tcW w:w="4104" w:type="dxa"/>
            <w:shd w:val="clear" w:color="auto" w:fill="auto"/>
          </w:tcPr>
          <w:p w14:paraId="6F804F89" w14:textId="64070D4E"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50% decrease </w:t>
            </w:r>
            <w:r w:rsidRPr="0053604B">
              <w:rPr>
                <w:rFonts w:ascii="Arial" w:hAnsi="Arial" w:cs="Arial"/>
                <w:i/>
                <w:sz w:val="18"/>
                <w:szCs w:val="18"/>
              </w:rPr>
              <w:t>to</w:t>
            </w:r>
            <w:r w:rsidRPr="0053604B">
              <w:rPr>
                <w:rFonts w:ascii="Arial" w:hAnsi="Arial" w:cs="Arial"/>
                <w:sz w:val="18"/>
                <w:szCs w:val="18"/>
              </w:rPr>
              <w:t xml:space="preserve"> 100% increase</w:t>
            </w:r>
          </w:p>
        </w:tc>
      </w:tr>
      <w:tr w:rsidR="00B8010A" w:rsidRPr="00B8010A" w14:paraId="425F3F79" w14:textId="77777777" w:rsidTr="0053604B">
        <w:trPr>
          <w:trHeight w:val="209"/>
          <w:jc w:val="center"/>
        </w:trPr>
        <w:tc>
          <w:tcPr>
            <w:tcW w:w="1838" w:type="dxa"/>
            <w:vMerge w:val="restart"/>
            <w:shd w:val="clear" w:color="auto" w:fill="auto"/>
          </w:tcPr>
          <w:p w14:paraId="27B1D1D3" w14:textId="49FF774A" w:rsidR="00D65E5D" w:rsidRPr="0053604B" w:rsidRDefault="00D65E5D" w:rsidP="00B8010A">
            <w:pPr>
              <w:pStyle w:val="Normaltable"/>
              <w:rPr>
                <w:rFonts w:cs="Arial"/>
                <w:b/>
                <w:i/>
                <w:sz w:val="18"/>
                <w:szCs w:val="18"/>
              </w:rPr>
            </w:pPr>
            <w:r w:rsidRPr="0053604B">
              <w:rPr>
                <w:rFonts w:cs="Arial"/>
                <w:b/>
                <w:i/>
                <w:sz w:val="18"/>
                <w:szCs w:val="18"/>
              </w:rPr>
              <w:t>Bus</w:t>
            </w:r>
          </w:p>
        </w:tc>
        <w:tc>
          <w:tcPr>
            <w:tcW w:w="3119" w:type="dxa"/>
            <w:shd w:val="clear" w:color="auto" w:fill="auto"/>
          </w:tcPr>
          <w:p w14:paraId="6BCB4B0A"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Fare</w:t>
            </w:r>
          </w:p>
        </w:tc>
        <w:tc>
          <w:tcPr>
            <w:tcW w:w="4104" w:type="dxa"/>
            <w:shd w:val="clear" w:color="auto" w:fill="auto"/>
          </w:tcPr>
          <w:p w14:paraId="710AB218" w14:textId="10FC273D"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5,000 </w:t>
            </w:r>
            <w:r w:rsidRPr="0053604B">
              <w:rPr>
                <w:rFonts w:ascii="Arial" w:hAnsi="Arial" w:cs="Arial"/>
                <w:i/>
                <w:sz w:val="18"/>
                <w:szCs w:val="18"/>
              </w:rPr>
              <w:t>to</w:t>
            </w:r>
            <w:r w:rsidRPr="0053604B">
              <w:rPr>
                <w:rFonts w:ascii="Arial" w:hAnsi="Arial" w:cs="Arial"/>
                <w:sz w:val="18"/>
                <w:szCs w:val="18"/>
              </w:rPr>
              <w:t xml:space="preserve"> 30,000VND </w:t>
            </w:r>
          </w:p>
        </w:tc>
      </w:tr>
      <w:tr w:rsidR="00B8010A" w:rsidRPr="00B8010A" w14:paraId="69EC8299" w14:textId="77777777" w:rsidTr="0053604B">
        <w:trPr>
          <w:trHeight w:val="227"/>
          <w:jc w:val="center"/>
        </w:trPr>
        <w:tc>
          <w:tcPr>
            <w:tcW w:w="1838" w:type="dxa"/>
            <w:vMerge/>
            <w:shd w:val="clear" w:color="auto" w:fill="auto"/>
          </w:tcPr>
          <w:p w14:paraId="5B12EF6E" w14:textId="77777777" w:rsidR="00D65E5D" w:rsidRPr="0053604B" w:rsidRDefault="00D65E5D" w:rsidP="00B8010A">
            <w:pPr>
              <w:pStyle w:val="Normaltable"/>
              <w:rPr>
                <w:rFonts w:cs="Arial"/>
                <w:sz w:val="18"/>
                <w:szCs w:val="18"/>
              </w:rPr>
            </w:pPr>
          </w:p>
        </w:tc>
        <w:tc>
          <w:tcPr>
            <w:tcW w:w="3119" w:type="dxa"/>
            <w:shd w:val="clear" w:color="auto" w:fill="auto"/>
          </w:tcPr>
          <w:p w14:paraId="00782D13"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Door-to-door travel time </w:t>
            </w:r>
          </w:p>
        </w:tc>
        <w:tc>
          <w:tcPr>
            <w:tcW w:w="4104" w:type="dxa"/>
            <w:shd w:val="clear" w:color="auto" w:fill="auto"/>
          </w:tcPr>
          <w:p w14:paraId="1D65EAC6" w14:textId="619333C6"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50% decrease </w:t>
            </w:r>
            <w:r w:rsidRPr="0053604B">
              <w:rPr>
                <w:rFonts w:ascii="Arial" w:hAnsi="Arial" w:cs="Arial"/>
                <w:i/>
                <w:sz w:val="18"/>
                <w:szCs w:val="18"/>
              </w:rPr>
              <w:t>to</w:t>
            </w:r>
            <w:r w:rsidRPr="0053604B">
              <w:rPr>
                <w:rFonts w:ascii="Arial" w:hAnsi="Arial" w:cs="Arial"/>
                <w:sz w:val="18"/>
                <w:szCs w:val="18"/>
              </w:rPr>
              <w:t xml:space="preserve"> 100% increase</w:t>
            </w:r>
          </w:p>
        </w:tc>
      </w:tr>
      <w:tr w:rsidR="00B8010A" w:rsidRPr="00B8010A" w14:paraId="403AA924" w14:textId="77777777" w:rsidTr="0053604B">
        <w:trPr>
          <w:trHeight w:val="203"/>
          <w:jc w:val="center"/>
        </w:trPr>
        <w:tc>
          <w:tcPr>
            <w:tcW w:w="1838" w:type="dxa"/>
            <w:vMerge/>
            <w:shd w:val="clear" w:color="auto" w:fill="auto"/>
          </w:tcPr>
          <w:p w14:paraId="315B16AA" w14:textId="77777777" w:rsidR="00D65E5D" w:rsidRPr="0053604B" w:rsidRDefault="00D65E5D" w:rsidP="00B8010A">
            <w:pPr>
              <w:pStyle w:val="Normaltable"/>
              <w:rPr>
                <w:rFonts w:cs="Arial"/>
                <w:sz w:val="18"/>
                <w:szCs w:val="18"/>
              </w:rPr>
            </w:pPr>
          </w:p>
        </w:tc>
        <w:tc>
          <w:tcPr>
            <w:tcW w:w="3119" w:type="dxa"/>
            <w:shd w:val="clear" w:color="auto" w:fill="auto"/>
          </w:tcPr>
          <w:p w14:paraId="0E814948" w14:textId="1D18E816" w:rsidR="00D65E5D" w:rsidRPr="0053604B" w:rsidRDefault="00D65E5D">
            <w:pPr>
              <w:pStyle w:val="Normaltablebullet"/>
              <w:numPr>
                <w:ilvl w:val="0"/>
                <w:numId w:val="0"/>
              </w:numPr>
              <w:rPr>
                <w:rFonts w:ascii="Arial" w:hAnsi="Arial" w:cs="Arial"/>
                <w:sz w:val="18"/>
                <w:szCs w:val="18"/>
              </w:rPr>
            </w:pPr>
            <w:r w:rsidRPr="0053604B">
              <w:rPr>
                <w:rFonts w:ascii="Arial" w:hAnsi="Arial" w:cs="Arial"/>
                <w:sz w:val="18"/>
                <w:szCs w:val="18"/>
              </w:rPr>
              <w:t>Walk associated with a bus trip</w:t>
            </w:r>
          </w:p>
        </w:tc>
        <w:tc>
          <w:tcPr>
            <w:tcW w:w="4104" w:type="dxa"/>
            <w:shd w:val="clear" w:color="auto" w:fill="auto"/>
          </w:tcPr>
          <w:p w14:paraId="10E51A9D" w14:textId="06EB2ED9"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2 minutes </w:t>
            </w:r>
            <w:r w:rsidRPr="0053604B">
              <w:rPr>
                <w:rFonts w:ascii="Arial" w:hAnsi="Arial" w:cs="Arial"/>
                <w:i/>
                <w:sz w:val="18"/>
                <w:szCs w:val="18"/>
              </w:rPr>
              <w:t>to</w:t>
            </w:r>
            <w:r w:rsidRPr="0053604B">
              <w:rPr>
                <w:rFonts w:ascii="Arial" w:hAnsi="Arial" w:cs="Arial"/>
                <w:sz w:val="18"/>
                <w:szCs w:val="18"/>
              </w:rPr>
              <w:t xml:space="preserve"> 15 minutes</w:t>
            </w:r>
          </w:p>
        </w:tc>
      </w:tr>
      <w:tr w:rsidR="00B8010A" w:rsidRPr="00B8010A" w14:paraId="1B3DFF1F" w14:textId="77777777" w:rsidTr="0053604B">
        <w:trPr>
          <w:trHeight w:val="221"/>
          <w:jc w:val="center"/>
        </w:trPr>
        <w:tc>
          <w:tcPr>
            <w:tcW w:w="1838" w:type="dxa"/>
            <w:vMerge/>
            <w:shd w:val="clear" w:color="auto" w:fill="auto"/>
          </w:tcPr>
          <w:p w14:paraId="25779515" w14:textId="77777777" w:rsidR="00D65E5D" w:rsidRPr="0053604B" w:rsidRDefault="00D65E5D" w:rsidP="00B8010A">
            <w:pPr>
              <w:pStyle w:val="Normaltable"/>
              <w:rPr>
                <w:rFonts w:cs="Arial"/>
                <w:sz w:val="18"/>
                <w:szCs w:val="18"/>
              </w:rPr>
            </w:pPr>
          </w:p>
        </w:tc>
        <w:tc>
          <w:tcPr>
            <w:tcW w:w="3119" w:type="dxa"/>
            <w:shd w:val="clear" w:color="auto" w:fill="auto"/>
          </w:tcPr>
          <w:p w14:paraId="779F19A5"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Arrival reliability</w:t>
            </w:r>
          </w:p>
        </w:tc>
        <w:tc>
          <w:tcPr>
            <w:tcW w:w="4104" w:type="dxa"/>
            <w:shd w:val="clear" w:color="auto" w:fill="auto"/>
          </w:tcPr>
          <w:p w14:paraId="2DA7D909"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Within 5 minutes - within 15 minutes</w:t>
            </w:r>
          </w:p>
        </w:tc>
      </w:tr>
      <w:tr w:rsidR="00B8010A" w:rsidRPr="00B8010A" w14:paraId="69573D47" w14:textId="77777777" w:rsidTr="0053604B">
        <w:trPr>
          <w:trHeight w:val="225"/>
          <w:jc w:val="center"/>
        </w:trPr>
        <w:tc>
          <w:tcPr>
            <w:tcW w:w="1838" w:type="dxa"/>
            <w:vMerge w:val="restart"/>
            <w:shd w:val="clear" w:color="auto" w:fill="auto"/>
          </w:tcPr>
          <w:p w14:paraId="3470FB5D" w14:textId="2A8C96A4" w:rsidR="00D65E5D" w:rsidRPr="0053604B" w:rsidRDefault="00D65E5D">
            <w:pPr>
              <w:pStyle w:val="Normaltable"/>
              <w:rPr>
                <w:rFonts w:cs="Arial"/>
                <w:b/>
                <w:i/>
                <w:sz w:val="18"/>
                <w:szCs w:val="18"/>
              </w:rPr>
            </w:pPr>
            <w:r w:rsidRPr="0053604B">
              <w:rPr>
                <w:rFonts w:cs="Arial"/>
                <w:b/>
                <w:i/>
                <w:sz w:val="18"/>
                <w:szCs w:val="18"/>
              </w:rPr>
              <w:t>Rapid Transit</w:t>
            </w:r>
          </w:p>
        </w:tc>
        <w:tc>
          <w:tcPr>
            <w:tcW w:w="3119" w:type="dxa"/>
            <w:shd w:val="clear" w:color="auto" w:fill="auto"/>
          </w:tcPr>
          <w:p w14:paraId="6D67F3FA"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Fare</w:t>
            </w:r>
          </w:p>
        </w:tc>
        <w:tc>
          <w:tcPr>
            <w:tcW w:w="4104" w:type="dxa"/>
            <w:shd w:val="clear" w:color="auto" w:fill="auto"/>
          </w:tcPr>
          <w:p w14:paraId="4807ABD1" w14:textId="5BD9C6E0"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5,000 </w:t>
            </w:r>
            <w:r w:rsidRPr="0053604B">
              <w:rPr>
                <w:rFonts w:ascii="Arial" w:hAnsi="Arial" w:cs="Arial"/>
                <w:i/>
                <w:sz w:val="18"/>
                <w:szCs w:val="18"/>
              </w:rPr>
              <w:t>to</w:t>
            </w:r>
            <w:r w:rsidRPr="0053604B">
              <w:rPr>
                <w:rFonts w:ascii="Arial" w:hAnsi="Arial" w:cs="Arial"/>
                <w:sz w:val="18"/>
                <w:szCs w:val="18"/>
              </w:rPr>
              <w:t xml:space="preserve"> 30,000VND</w:t>
            </w:r>
          </w:p>
        </w:tc>
      </w:tr>
      <w:tr w:rsidR="00B8010A" w:rsidRPr="00B8010A" w14:paraId="3115C64C" w14:textId="77777777" w:rsidTr="0053604B">
        <w:trPr>
          <w:trHeight w:val="201"/>
          <w:jc w:val="center"/>
        </w:trPr>
        <w:tc>
          <w:tcPr>
            <w:tcW w:w="1838" w:type="dxa"/>
            <w:vMerge/>
            <w:shd w:val="clear" w:color="auto" w:fill="auto"/>
          </w:tcPr>
          <w:p w14:paraId="52D6AA27" w14:textId="77777777" w:rsidR="00D65E5D" w:rsidRPr="0053604B" w:rsidRDefault="00D65E5D" w:rsidP="00B8010A">
            <w:pPr>
              <w:pStyle w:val="Normaltable"/>
              <w:rPr>
                <w:rFonts w:cs="Arial"/>
                <w:sz w:val="18"/>
                <w:szCs w:val="18"/>
              </w:rPr>
            </w:pPr>
          </w:p>
        </w:tc>
        <w:tc>
          <w:tcPr>
            <w:tcW w:w="3119" w:type="dxa"/>
            <w:shd w:val="clear" w:color="auto" w:fill="auto"/>
          </w:tcPr>
          <w:p w14:paraId="104A8073" w14:textId="7777777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Door-to-door travel time</w:t>
            </w:r>
          </w:p>
        </w:tc>
        <w:tc>
          <w:tcPr>
            <w:tcW w:w="4104" w:type="dxa"/>
            <w:shd w:val="clear" w:color="auto" w:fill="auto"/>
          </w:tcPr>
          <w:p w14:paraId="152E6CEF" w14:textId="77AAAB17"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50% decrease </w:t>
            </w:r>
            <w:r w:rsidRPr="0053604B">
              <w:rPr>
                <w:rFonts w:ascii="Arial" w:hAnsi="Arial" w:cs="Arial"/>
                <w:i/>
                <w:sz w:val="18"/>
                <w:szCs w:val="18"/>
              </w:rPr>
              <w:t>to</w:t>
            </w:r>
            <w:r w:rsidRPr="0053604B">
              <w:rPr>
                <w:rFonts w:ascii="Arial" w:hAnsi="Arial" w:cs="Arial"/>
                <w:sz w:val="18"/>
                <w:szCs w:val="18"/>
              </w:rPr>
              <w:t xml:space="preserve"> 100% increase</w:t>
            </w:r>
          </w:p>
        </w:tc>
      </w:tr>
      <w:tr w:rsidR="00B8010A" w:rsidRPr="00B8010A" w14:paraId="6DD89614" w14:textId="77777777" w:rsidTr="0053604B">
        <w:trPr>
          <w:trHeight w:val="219"/>
          <w:jc w:val="center"/>
        </w:trPr>
        <w:tc>
          <w:tcPr>
            <w:tcW w:w="1838" w:type="dxa"/>
            <w:vMerge/>
            <w:shd w:val="clear" w:color="auto" w:fill="auto"/>
          </w:tcPr>
          <w:p w14:paraId="2B65114D" w14:textId="77777777" w:rsidR="00D65E5D" w:rsidRPr="0053604B" w:rsidRDefault="00D65E5D" w:rsidP="00B8010A">
            <w:pPr>
              <w:pStyle w:val="Normaltable"/>
              <w:rPr>
                <w:rFonts w:cs="Arial"/>
                <w:sz w:val="18"/>
                <w:szCs w:val="18"/>
              </w:rPr>
            </w:pPr>
          </w:p>
        </w:tc>
        <w:tc>
          <w:tcPr>
            <w:tcW w:w="3119" w:type="dxa"/>
            <w:shd w:val="clear" w:color="auto" w:fill="auto"/>
          </w:tcPr>
          <w:p w14:paraId="5F557995" w14:textId="19B3ADA2"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Access associated with a metro trip</w:t>
            </w:r>
          </w:p>
        </w:tc>
        <w:tc>
          <w:tcPr>
            <w:tcW w:w="4104" w:type="dxa"/>
            <w:shd w:val="clear" w:color="auto" w:fill="auto"/>
          </w:tcPr>
          <w:p w14:paraId="6D263553" w14:textId="7579AAA9" w:rsidR="00D65E5D" w:rsidRPr="0053604B" w:rsidRDefault="00D65E5D" w:rsidP="00B8010A">
            <w:pPr>
              <w:pStyle w:val="Normaltablebullet"/>
              <w:numPr>
                <w:ilvl w:val="0"/>
                <w:numId w:val="0"/>
              </w:numPr>
              <w:rPr>
                <w:rFonts w:ascii="Arial" w:hAnsi="Arial" w:cs="Arial"/>
                <w:sz w:val="18"/>
                <w:szCs w:val="18"/>
              </w:rPr>
            </w:pPr>
            <w:r w:rsidRPr="0053604B">
              <w:rPr>
                <w:rFonts w:ascii="Arial" w:hAnsi="Arial" w:cs="Arial"/>
                <w:sz w:val="18"/>
                <w:szCs w:val="18"/>
              </w:rPr>
              <w:t xml:space="preserve">2 minutes </w:t>
            </w:r>
            <w:r w:rsidRPr="0053604B">
              <w:rPr>
                <w:rFonts w:ascii="Arial" w:hAnsi="Arial" w:cs="Arial"/>
                <w:i/>
                <w:sz w:val="18"/>
                <w:szCs w:val="18"/>
              </w:rPr>
              <w:t>to</w:t>
            </w:r>
            <w:r w:rsidRPr="0053604B">
              <w:rPr>
                <w:rFonts w:ascii="Arial" w:hAnsi="Arial" w:cs="Arial"/>
                <w:sz w:val="18"/>
                <w:szCs w:val="18"/>
              </w:rPr>
              <w:t xml:space="preserve"> 15 minutes</w:t>
            </w:r>
          </w:p>
        </w:tc>
      </w:tr>
    </w:tbl>
    <w:p w14:paraId="4F296016" w14:textId="77777777" w:rsidR="000B1CF1" w:rsidRDefault="000B1CF1" w:rsidP="000B1CF1">
      <w:pPr>
        <w:pStyle w:val="BodyText"/>
      </w:pPr>
    </w:p>
    <w:p w14:paraId="7A960877" w14:textId="4D95F1CD" w:rsidR="00B8010A" w:rsidRPr="0053604B" w:rsidRDefault="00721446" w:rsidP="0053604B">
      <w:pPr>
        <w:pStyle w:val="Captionstyle"/>
        <w:keepNext/>
      </w:pPr>
      <w:bookmarkStart w:id="0" w:name="_Toc406859516"/>
      <w:r w:rsidRPr="00813C8D">
        <w:t xml:space="preserve">Figure 2: </w:t>
      </w:r>
      <w:r w:rsidR="00B8010A" w:rsidRPr="0053604B">
        <w:t>Example stated preference choice task containing motorcycle and car</w:t>
      </w:r>
      <w:bookmarkEnd w:id="0"/>
    </w:p>
    <w:p w14:paraId="68CFC5D3" w14:textId="77777777" w:rsidR="00B8010A" w:rsidRPr="0053604B" w:rsidRDefault="00B8010A" w:rsidP="00B8010A">
      <w:pPr>
        <w:pStyle w:val="Normaltable"/>
        <w:jc w:val="center"/>
        <w:rPr>
          <w:b/>
          <w:sz w:val="2"/>
          <w:szCs w:val="24"/>
        </w:rPr>
      </w:pPr>
    </w:p>
    <w:tbl>
      <w:tblPr>
        <w:tblW w:w="5000" w:type="pct"/>
        <w:tblCellSpacing w:w="0"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192"/>
        <w:gridCol w:w="3091"/>
        <w:gridCol w:w="2778"/>
      </w:tblGrid>
      <w:tr w:rsidR="00B8010A" w:rsidRPr="00721446" w14:paraId="7E3028D9" w14:textId="77777777" w:rsidTr="00B8010A">
        <w:trPr>
          <w:trHeight w:val="265"/>
          <w:tblCellSpacing w:w="0" w:type="dxa"/>
        </w:trPr>
        <w:tc>
          <w:tcPr>
            <w:tcW w:w="1761" w:type="pct"/>
            <w:vMerge w:val="restart"/>
            <w:tcBorders>
              <w:top w:val="nil"/>
              <w:left w:val="nil"/>
              <w:bottom w:val="nil"/>
              <w:right w:val="nil"/>
            </w:tcBorders>
            <w:vAlign w:val="center"/>
            <w:hideMark/>
          </w:tcPr>
          <w:p w14:paraId="05E50E97" w14:textId="77777777" w:rsidR="00B8010A" w:rsidRPr="0053604B" w:rsidRDefault="00B8010A" w:rsidP="00B8010A">
            <w:pPr>
              <w:pStyle w:val="Normaltable"/>
              <w:keepNext/>
              <w:keepLines/>
              <w:jc w:val="center"/>
              <w:rPr>
                <w:szCs w:val="24"/>
              </w:rPr>
            </w:pPr>
          </w:p>
        </w:tc>
        <w:tc>
          <w:tcPr>
            <w:tcW w:w="1705" w:type="pct"/>
            <w:tcBorders>
              <w:top w:val="single" w:sz="2" w:space="0" w:color="auto"/>
              <w:left w:val="inset" w:sz="8" w:space="0" w:color="auto"/>
              <w:bottom w:val="nil"/>
              <w:right w:val="inset" w:sz="8" w:space="0" w:color="auto"/>
            </w:tcBorders>
            <w:shd w:val="clear" w:color="auto" w:fill="DBE5F1" w:themeFill="accent1" w:themeFillTint="33"/>
            <w:tcMar>
              <w:top w:w="54" w:type="dxa"/>
              <w:left w:w="15" w:type="dxa"/>
              <w:bottom w:w="54" w:type="dxa"/>
              <w:right w:w="15" w:type="dxa"/>
            </w:tcMar>
            <w:vAlign w:val="center"/>
            <w:hideMark/>
          </w:tcPr>
          <w:p w14:paraId="3F6D6FA7" w14:textId="77777777" w:rsidR="00B8010A" w:rsidRPr="0053604B" w:rsidRDefault="00B8010A" w:rsidP="00B8010A">
            <w:pPr>
              <w:pStyle w:val="Normaltable"/>
              <w:keepNext/>
              <w:keepLines/>
              <w:jc w:val="center"/>
              <w:rPr>
                <w:szCs w:val="24"/>
              </w:rPr>
            </w:pPr>
            <w:r w:rsidRPr="0053604B">
              <w:rPr>
                <w:szCs w:val="24"/>
              </w:rPr>
              <w:t>Motorcycle</w:t>
            </w:r>
          </w:p>
        </w:tc>
        <w:tc>
          <w:tcPr>
            <w:tcW w:w="1533" w:type="pct"/>
            <w:tcBorders>
              <w:top w:val="single" w:sz="2" w:space="0" w:color="auto"/>
              <w:left w:val="inset" w:sz="8" w:space="0" w:color="auto"/>
              <w:bottom w:val="nil"/>
              <w:right w:val="inset" w:sz="8" w:space="0" w:color="auto"/>
            </w:tcBorders>
            <w:shd w:val="clear" w:color="auto" w:fill="DBE5F1" w:themeFill="accent1" w:themeFillTint="33"/>
            <w:tcMar>
              <w:top w:w="54" w:type="dxa"/>
              <w:left w:w="15" w:type="dxa"/>
              <w:bottom w:w="54" w:type="dxa"/>
              <w:right w:w="15" w:type="dxa"/>
            </w:tcMar>
            <w:vAlign w:val="center"/>
            <w:hideMark/>
          </w:tcPr>
          <w:p w14:paraId="6461275E" w14:textId="77777777" w:rsidR="00B8010A" w:rsidRPr="0053604B" w:rsidRDefault="00B8010A" w:rsidP="00B8010A">
            <w:pPr>
              <w:pStyle w:val="Normaltable"/>
              <w:keepNext/>
              <w:keepLines/>
              <w:jc w:val="center"/>
              <w:rPr>
                <w:szCs w:val="24"/>
              </w:rPr>
            </w:pPr>
            <w:r w:rsidRPr="0053604B">
              <w:rPr>
                <w:szCs w:val="24"/>
              </w:rPr>
              <w:t>Car</w:t>
            </w:r>
          </w:p>
        </w:tc>
      </w:tr>
      <w:tr w:rsidR="00B8010A" w:rsidRPr="00721446" w14:paraId="4F182F67" w14:textId="77777777" w:rsidTr="00B8010A">
        <w:trPr>
          <w:trHeight w:val="734"/>
          <w:tblCellSpacing w:w="0" w:type="dxa"/>
        </w:trPr>
        <w:tc>
          <w:tcPr>
            <w:tcW w:w="1761" w:type="pct"/>
            <w:vMerge/>
            <w:tcBorders>
              <w:top w:val="nil"/>
              <w:left w:val="nil"/>
              <w:bottom w:val="nil"/>
              <w:right w:val="nil"/>
            </w:tcBorders>
            <w:vAlign w:val="bottom"/>
            <w:hideMark/>
          </w:tcPr>
          <w:p w14:paraId="189BF5A9" w14:textId="77777777" w:rsidR="00B8010A" w:rsidRPr="0053604B" w:rsidRDefault="00B8010A" w:rsidP="00B8010A">
            <w:pPr>
              <w:pStyle w:val="Normaltable"/>
              <w:keepNext/>
              <w:keepLines/>
              <w:jc w:val="center"/>
              <w:rPr>
                <w:szCs w:val="24"/>
              </w:rPr>
            </w:pPr>
          </w:p>
        </w:tc>
        <w:tc>
          <w:tcPr>
            <w:tcW w:w="1705" w:type="pct"/>
            <w:tcBorders>
              <w:top w:val="nil"/>
              <w:left w:val="inset" w:sz="8" w:space="0" w:color="auto"/>
              <w:bottom w:val="inset" w:sz="8" w:space="0" w:color="auto"/>
              <w:right w:val="inset" w:sz="8" w:space="0" w:color="auto"/>
            </w:tcBorders>
            <w:shd w:val="clear" w:color="auto" w:fill="FFFFFF" w:themeFill="background1"/>
            <w:tcMar>
              <w:top w:w="54" w:type="dxa"/>
              <w:left w:w="15" w:type="dxa"/>
              <w:bottom w:w="54" w:type="dxa"/>
              <w:right w:w="15" w:type="dxa"/>
            </w:tcMar>
            <w:vAlign w:val="bottom"/>
            <w:hideMark/>
          </w:tcPr>
          <w:p w14:paraId="322C0C5E" w14:textId="77777777" w:rsidR="00B8010A" w:rsidRPr="0053604B" w:rsidRDefault="00B8010A" w:rsidP="00B8010A">
            <w:pPr>
              <w:pStyle w:val="Normaltable"/>
              <w:keepNext/>
              <w:keepLines/>
              <w:jc w:val="center"/>
              <w:rPr>
                <w:szCs w:val="24"/>
              </w:rPr>
            </w:pPr>
            <w:r w:rsidRPr="0053604B">
              <w:rPr>
                <w:noProof/>
                <w:szCs w:val="24"/>
                <w:lang w:eastAsia="en-AU"/>
              </w:rPr>
              <w:drawing>
                <wp:inline distT="0" distB="0" distL="0" distR="0" wp14:anchorId="627AAE35" wp14:editId="177A194C">
                  <wp:extent cx="489098" cy="47306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4407" cy="478197"/>
                          </a:xfrm>
                          <a:prstGeom prst="rect">
                            <a:avLst/>
                          </a:prstGeom>
                        </pic:spPr>
                      </pic:pic>
                    </a:graphicData>
                  </a:graphic>
                </wp:inline>
              </w:drawing>
            </w:r>
          </w:p>
        </w:tc>
        <w:tc>
          <w:tcPr>
            <w:tcW w:w="1533" w:type="pct"/>
            <w:tcBorders>
              <w:top w:val="nil"/>
              <w:left w:val="inset" w:sz="8" w:space="0" w:color="auto"/>
              <w:bottom w:val="inset" w:sz="8" w:space="0" w:color="auto"/>
              <w:right w:val="inset" w:sz="8" w:space="0" w:color="auto"/>
            </w:tcBorders>
            <w:shd w:val="clear" w:color="auto" w:fill="FFFFFF" w:themeFill="background1"/>
            <w:tcMar>
              <w:top w:w="54" w:type="dxa"/>
              <w:left w:w="15" w:type="dxa"/>
              <w:bottom w:w="54" w:type="dxa"/>
              <w:right w:w="15" w:type="dxa"/>
            </w:tcMar>
            <w:vAlign w:val="bottom"/>
            <w:hideMark/>
          </w:tcPr>
          <w:p w14:paraId="5EE33FEC" w14:textId="77777777" w:rsidR="00B8010A" w:rsidRPr="0053604B" w:rsidRDefault="00B8010A" w:rsidP="00B8010A">
            <w:pPr>
              <w:pStyle w:val="Normaltable"/>
              <w:keepNext/>
              <w:keepLines/>
              <w:jc w:val="center"/>
              <w:rPr>
                <w:szCs w:val="24"/>
              </w:rPr>
            </w:pPr>
            <w:r w:rsidRPr="0053604B">
              <w:rPr>
                <w:noProof/>
                <w:szCs w:val="24"/>
                <w:lang w:eastAsia="en-AU"/>
              </w:rPr>
              <w:drawing>
                <wp:inline distT="0" distB="0" distL="0" distR="0" wp14:anchorId="42293D9E" wp14:editId="432DBB67">
                  <wp:extent cx="531628" cy="447276"/>
                  <wp:effectExtent l="0" t="0" r="0" b="0"/>
                  <wp:docPr id="1" name="Picture 1" descr="car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_image.jpg"/>
                          <pic:cNvPicPr/>
                        </pic:nvPicPr>
                        <pic:blipFill>
                          <a:blip r:embed="rId12" cstate="print"/>
                          <a:stretch>
                            <a:fillRect/>
                          </a:stretch>
                        </pic:blipFill>
                        <pic:spPr>
                          <a:xfrm>
                            <a:off x="0" y="0"/>
                            <a:ext cx="540884" cy="455063"/>
                          </a:xfrm>
                          <a:prstGeom prst="rect">
                            <a:avLst/>
                          </a:prstGeom>
                        </pic:spPr>
                      </pic:pic>
                    </a:graphicData>
                  </a:graphic>
                </wp:inline>
              </w:drawing>
            </w:r>
          </w:p>
        </w:tc>
      </w:tr>
      <w:tr w:rsidR="00B8010A" w:rsidRPr="00721446" w14:paraId="18F90BD2" w14:textId="77777777" w:rsidTr="00B8010A">
        <w:trPr>
          <w:trHeight w:val="349"/>
          <w:tblCellSpacing w:w="0" w:type="dxa"/>
        </w:trPr>
        <w:tc>
          <w:tcPr>
            <w:tcW w:w="1761" w:type="pct"/>
            <w:tcBorders>
              <w:top w:val="inset" w:sz="8" w:space="0" w:color="auto"/>
              <w:left w:val="inset" w:sz="8" w:space="0" w:color="auto"/>
              <w:bottom w:val="inset" w:sz="8" w:space="0" w:color="auto"/>
              <w:right w:val="inset" w:sz="8" w:space="0" w:color="auto"/>
            </w:tcBorders>
            <w:tcMar>
              <w:top w:w="15" w:type="dxa"/>
              <w:left w:w="43" w:type="dxa"/>
              <w:bottom w:w="15" w:type="dxa"/>
              <w:right w:w="15" w:type="dxa"/>
            </w:tcMar>
            <w:vAlign w:val="center"/>
            <w:hideMark/>
          </w:tcPr>
          <w:p w14:paraId="6DDF671E" w14:textId="77777777" w:rsidR="00B8010A" w:rsidRPr="0053604B" w:rsidRDefault="00B8010A" w:rsidP="00B8010A">
            <w:pPr>
              <w:pStyle w:val="Normaltable"/>
              <w:keepNext/>
              <w:keepLines/>
              <w:ind w:right="107"/>
              <w:jc w:val="right"/>
              <w:rPr>
                <w:rFonts w:cstheme="minorHAnsi"/>
                <w:szCs w:val="24"/>
              </w:rPr>
            </w:pPr>
            <w:r w:rsidRPr="0053604B">
              <w:rPr>
                <w:rFonts w:cstheme="minorHAnsi"/>
                <w:szCs w:val="24"/>
              </w:rPr>
              <w:t>Fuel Cost</w:t>
            </w:r>
          </w:p>
        </w:tc>
        <w:tc>
          <w:tcPr>
            <w:tcW w:w="1705" w:type="pct"/>
            <w:tcBorders>
              <w:top w:val="inset" w:sz="8" w:space="0" w:color="auto"/>
              <w:left w:val="inset" w:sz="8" w:space="0" w:color="auto"/>
              <w:bottom w:val="inset" w:sz="8" w:space="0" w:color="auto"/>
              <w:right w:val="inset" w:sz="8" w:space="0" w:color="auto"/>
            </w:tcBorders>
            <w:vAlign w:val="center"/>
            <w:hideMark/>
          </w:tcPr>
          <w:p w14:paraId="2E83EEE6" w14:textId="54BE1702" w:rsidR="00B8010A" w:rsidRPr="0053604B" w:rsidRDefault="00EE7F05" w:rsidP="00B8010A">
            <w:pPr>
              <w:pStyle w:val="Normaltable"/>
              <w:keepNext/>
              <w:keepLines/>
              <w:jc w:val="center"/>
            </w:pPr>
            <w:r>
              <w:t xml:space="preserve">800 VND </w:t>
            </w:r>
            <w:bookmarkStart w:id="1" w:name="_GoBack"/>
            <w:bookmarkEnd w:id="1"/>
            <w:r w:rsidR="00B8010A" w:rsidRPr="0053604B">
              <w:t>/km</w:t>
            </w:r>
          </w:p>
          <w:p w14:paraId="1670B0EB" w14:textId="77777777" w:rsidR="00B8010A" w:rsidRPr="0053604B" w:rsidRDefault="00B8010A" w:rsidP="00B8010A">
            <w:pPr>
              <w:pStyle w:val="Normaltable"/>
              <w:keepNext/>
              <w:keepLines/>
              <w:jc w:val="center"/>
              <w:rPr>
                <w:rFonts w:cstheme="minorHAnsi"/>
                <w:szCs w:val="24"/>
              </w:rPr>
            </w:pPr>
            <w:r w:rsidRPr="0053604B">
              <w:t>(Current Price)</w:t>
            </w:r>
          </w:p>
        </w:tc>
        <w:tc>
          <w:tcPr>
            <w:tcW w:w="1533" w:type="pct"/>
            <w:tcBorders>
              <w:top w:val="inset" w:sz="8" w:space="0" w:color="auto"/>
              <w:left w:val="inset" w:sz="8" w:space="0" w:color="auto"/>
              <w:bottom w:val="inset" w:sz="8" w:space="0" w:color="auto"/>
              <w:right w:val="inset" w:sz="8" w:space="0" w:color="auto"/>
            </w:tcBorders>
            <w:shd w:val="clear" w:color="auto" w:fill="auto"/>
            <w:vAlign w:val="center"/>
            <w:hideMark/>
          </w:tcPr>
          <w:p w14:paraId="7C3FE628" w14:textId="21875ABA" w:rsidR="00B8010A" w:rsidRPr="0053604B" w:rsidRDefault="00B8010A" w:rsidP="00B8010A">
            <w:pPr>
              <w:pStyle w:val="Normaltable"/>
              <w:keepNext/>
              <w:keepLines/>
              <w:jc w:val="center"/>
              <w:rPr>
                <w:rFonts w:cstheme="minorHAnsi"/>
                <w:szCs w:val="24"/>
              </w:rPr>
            </w:pPr>
            <w:r w:rsidRPr="0053604B">
              <w:rPr>
                <w:rFonts w:cstheme="minorHAnsi"/>
                <w:szCs w:val="24"/>
              </w:rPr>
              <w:t>5,000</w:t>
            </w:r>
            <w:r w:rsidR="003601B2">
              <w:rPr>
                <w:rFonts w:cstheme="minorHAnsi"/>
                <w:szCs w:val="24"/>
              </w:rPr>
              <w:t xml:space="preserve"> VND</w:t>
            </w:r>
            <w:r w:rsidRPr="0053604B">
              <w:rPr>
                <w:rFonts w:cstheme="minorHAnsi"/>
                <w:szCs w:val="24"/>
              </w:rPr>
              <w:t xml:space="preserve"> /km</w:t>
            </w:r>
          </w:p>
          <w:p w14:paraId="3A6D94FA" w14:textId="77777777" w:rsidR="00B8010A" w:rsidRPr="0053604B" w:rsidRDefault="00B8010A" w:rsidP="00B8010A">
            <w:pPr>
              <w:pStyle w:val="Normaltable"/>
              <w:keepNext/>
              <w:keepLines/>
              <w:jc w:val="center"/>
              <w:rPr>
                <w:rFonts w:cstheme="minorHAnsi"/>
                <w:szCs w:val="24"/>
              </w:rPr>
            </w:pPr>
            <w:r w:rsidRPr="0053604B">
              <w:rPr>
                <w:rFonts w:cstheme="minorHAnsi"/>
                <w:szCs w:val="24"/>
              </w:rPr>
              <w:t>(Double Current Price)</w:t>
            </w:r>
          </w:p>
        </w:tc>
      </w:tr>
      <w:tr w:rsidR="00B8010A" w:rsidRPr="00721446" w14:paraId="6E7AE620" w14:textId="77777777" w:rsidTr="00B8010A">
        <w:trPr>
          <w:trHeight w:val="227"/>
          <w:tblCellSpacing w:w="0" w:type="dxa"/>
        </w:trPr>
        <w:tc>
          <w:tcPr>
            <w:tcW w:w="1761" w:type="pct"/>
            <w:tcBorders>
              <w:top w:val="inset" w:sz="8" w:space="0" w:color="auto"/>
              <w:left w:val="inset" w:sz="8" w:space="0" w:color="auto"/>
              <w:bottom w:val="inset" w:sz="8" w:space="0" w:color="auto"/>
              <w:right w:val="inset" w:sz="8" w:space="0" w:color="auto"/>
            </w:tcBorders>
            <w:tcMar>
              <w:top w:w="15" w:type="dxa"/>
              <w:left w:w="43" w:type="dxa"/>
              <w:bottom w:w="15" w:type="dxa"/>
              <w:right w:w="15" w:type="dxa"/>
            </w:tcMar>
            <w:vAlign w:val="center"/>
            <w:hideMark/>
          </w:tcPr>
          <w:p w14:paraId="25473854" w14:textId="77777777" w:rsidR="00B8010A" w:rsidRPr="0053604B" w:rsidRDefault="00B8010A" w:rsidP="00B8010A">
            <w:pPr>
              <w:pStyle w:val="Normaltable"/>
              <w:keepNext/>
              <w:keepLines/>
              <w:ind w:right="107"/>
              <w:jc w:val="right"/>
              <w:rPr>
                <w:rFonts w:cstheme="minorHAnsi"/>
                <w:szCs w:val="24"/>
              </w:rPr>
            </w:pPr>
            <w:r w:rsidRPr="0053604B">
              <w:rPr>
                <w:rFonts w:cstheme="minorHAnsi"/>
                <w:szCs w:val="24"/>
              </w:rPr>
              <w:t>Parking Cost</w:t>
            </w:r>
          </w:p>
        </w:tc>
        <w:tc>
          <w:tcPr>
            <w:tcW w:w="1705" w:type="pct"/>
            <w:tcBorders>
              <w:top w:val="inset" w:sz="8" w:space="0" w:color="auto"/>
              <w:left w:val="inset" w:sz="8" w:space="0" w:color="auto"/>
              <w:bottom w:val="inset" w:sz="8" w:space="0" w:color="auto"/>
              <w:right w:val="inset" w:sz="8" w:space="0" w:color="auto"/>
            </w:tcBorders>
            <w:vAlign w:val="center"/>
            <w:hideMark/>
          </w:tcPr>
          <w:p w14:paraId="3848BB78" w14:textId="60B052D5" w:rsidR="00B8010A" w:rsidRPr="0053604B" w:rsidRDefault="00B8010A" w:rsidP="00B8010A">
            <w:pPr>
              <w:pStyle w:val="Normaltable"/>
              <w:keepNext/>
              <w:keepLines/>
              <w:jc w:val="center"/>
              <w:rPr>
                <w:rFonts w:cstheme="minorHAnsi"/>
                <w:szCs w:val="24"/>
              </w:rPr>
            </w:pPr>
            <w:r w:rsidRPr="0053604B">
              <w:rPr>
                <w:rFonts w:cstheme="minorHAnsi"/>
                <w:szCs w:val="24"/>
              </w:rPr>
              <w:t>20,000</w:t>
            </w:r>
            <w:r w:rsidR="003601B2">
              <w:t xml:space="preserve"> VND</w:t>
            </w:r>
          </w:p>
        </w:tc>
        <w:tc>
          <w:tcPr>
            <w:tcW w:w="1533" w:type="pct"/>
            <w:tcBorders>
              <w:top w:val="inset" w:sz="8" w:space="0" w:color="auto"/>
              <w:left w:val="inset" w:sz="8" w:space="0" w:color="auto"/>
              <w:bottom w:val="inset" w:sz="8" w:space="0" w:color="auto"/>
              <w:right w:val="inset" w:sz="8" w:space="0" w:color="auto"/>
            </w:tcBorders>
            <w:shd w:val="clear" w:color="auto" w:fill="auto"/>
            <w:vAlign w:val="center"/>
            <w:hideMark/>
          </w:tcPr>
          <w:p w14:paraId="594CB2F9" w14:textId="77777777" w:rsidR="00B8010A" w:rsidRPr="0053604B" w:rsidRDefault="00B8010A" w:rsidP="00B8010A">
            <w:pPr>
              <w:pStyle w:val="Normaltable"/>
              <w:keepNext/>
              <w:keepLines/>
              <w:jc w:val="center"/>
              <w:rPr>
                <w:rFonts w:cstheme="minorHAnsi"/>
                <w:szCs w:val="24"/>
              </w:rPr>
            </w:pPr>
            <w:r w:rsidRPr="0053604B">
              <w:rPr>
                <w:rFonts w:cstheme="minorHAnsi"/>
                <w:szCs w:val="24"/>
              </w:rPr>
              <w:t>Free</w:t>
            </w:r>
          </w:p>
        </w:tc>
      </w:tr>
      <w:tr w:rsidR="00B8010A" w:rsidRPr="00721446" w14:paraId="37114E70" w14:textId="77777777" w:rsidTr="00B8010A">
        <w:trPr>
          <w:trHeight w:val="261"/>
          <w:tblCellSpacing w:w="0" w:type="dxa"/>
        </w:trPr>
        <w:tc>
          <w:tcPr>
            <w:tcW w:w="1761" w:type="pct"/>
            <w:tcBorders>
              <w:top w:val="inset" w:sz="8" w:space="0" w:color="auto"/>
              <w:left w:val="inset" w:sz="8" w:space="0" w:color="auto"/>
              <w:bottom w:val="inset" w:sz="8" w:space="0" w:color="auto"/>
              <w:right w:val="inset" w:sz="8" w:space="0" w:color="auto"/>
            </w:tcBorders>
            <w:tcMar>
              <w:top w:w="15" w:type="dxa"/>
              <w:left w:w="43" w:type="dxa"/>
              <w:bottom w:w="15" w:type="dxa"/>
              <w:right w:w="15" w:type="dxa"/>
            </w:tcMar>
            <w:vAlign w:val="center"/>
            <w:hideMark/>
          </w:tcPr>
          <w:p w14:paraId="7BDB5A80" w14:textId="77777777" w:rsidR="00B8010A" w:rsidRPr="0053604B" w:rsidRDefault="00B8010A" w:rsidP="00B8010A">
            <w:pPr>
              <w:pStyle w:val="Normaltable"/>
              <w:keepNext/>
              <w:keepLines/>
              <w:ind w:right="107"/>
              <w:jc w:val="right"/>
              <w:rPr>
                <w:rFonts w:cstheme="minorHAnsi"/>
                <w:szCs w:val="24"/>
              </w:rPr>
            </w:pPr>
            <w:r w:rsidRPr="0053604B">
              <w:rPr>
                <w:rFonts w:cstheme="minorHAnsi"/>
                <w:szCs w:val="24"/>
              </w:rPr>
              <w:t>Door-to-Door Travel Time</w:t>
            </w:r>
          </w:p>
        </w:tc>
        <w:tc>
          <w:tcPr>
            <w:tcW w:w="1705" w:type="pct"/>
            <w:tcBorders>
              <w:top w:val="inset" w:sz="8" w:space="0" w:color="auto"/>
              <w:left w:val="inset" w:sz="8" w:space="0" w:color="auto"/>
              <w:bottom w:val="inset" w:sz="8" w:space="0" w:color="auto"/>
              <w:right w:val="inset" w:sz="8" w:space="0" w:color="auto"/>
            </w:tcBorders>
            <w:vAlign w:val="center"/>
            <w:hideMark/>
          </w:tcPr>
          <w:p w14:paraId="292BCA86" w14:textId="77777777" w:rsidR="00B8010A" w:rsidRPr="0053604B" w:rsidRDefault="00B8010A" w:rsidP="00B8010A">
            <w:pPr>
              <w:pStyle w:val="Normaltable"/>
              <w:keepNext/>
              <w:keepLines/>
              <w:jc w:val="center"/>
              <w:rPr>
                <w:rFonts w:cstheme="minorHAnsi"/>
                <w:szCs w:val="24"/>
              </w:rPr>
            </w:pPr>
            <w:r w:rsidRPr="0053604B">
              <w:rPr>
                <w:rFonts w:cstheme="minorHAnsi"/>
                <w:szCs w:val="24"/>
              </w:rPr>
              <w:t>No Change to Your Current</w:t>
            </w:r>
          </w:p>
        </w:tc>
        <w:tc>
          <w:tcPr>
            <w:tcW w:w="1533" w:type="pct"/>
            <w:tcBorders>
              <w:top w:val="inset" w:sz="8" w:space="0" w:color="auto"/>
              <w:left w:val="inset" w:sz="8" w:space="0" w:color="auto"/>
              <w:bottom w:val="inset" w:sz="8" w:space="0" w:color="auto"/>
              <w:right w:val="inset" w:sz="8" w:space="0" w:color="auto"/>
            </w:tcBorders>
            <w:vAlign w:val="center"/>
            <w:hideMark/>
          </w:tcPr>
          <w:p w14:paraId="1005516C" w14:textId="77777777" w:rsidR="00B8010A" w:rsidRPr="0053604B" w:rsidRDefault="00B8010A" w:rsidP="00B8010A">
            <w:pPr>
              <w:pStyle w:val="Normaltable"/>
              <w:keepNext/>
              <w:keepLines/>
              <w:jc w:val="center"/>
              <w:rPr>
                <w:rFonts w:cstheme="minorHAnsi"/>
                <w:szCs w:val="24"/>
              </w:rPr>
            </w:pPr>
            <w:r w:rsidRPr="0053604B">
              <w:t>Half Your Current</w:t>
            </w:r>
          </w:p>
        </w:tc>
      </w:tr>
      <w:tr w:rsidR="00B8010A" w:rsidRPr="00721446" w14:paraId="7D9A4F02" w14:textId="77777777" w:rsidTr="00B8010A">
        <w:trPr>
          <w:trHeight w:val="298"/>
          <w:tblCellSpacing w:w="0" w:type="dxa"/>
        </w:trPr>
        <w:tc>
          <w:tcPr>
            <w:tcW w:w="1761" w:type="pct"/>
            <w:tcBorders>
              <w:top w:val="inset" w:sz="8" w:space="0" w:color="auto"/>
              <w:left w:val="inset" w:sz="8" w:space="0" w:color="auto"/>
              <w:bottom w:val="single" w:sz="2" w:space="0" w:color="auto"/>
              <w:right w:val="inset" w:sz="8" w:space="0" w:color="auto"/>
            </w:tcBorders>
            <w:shd w:val="clear" w:color="auto" w:fill="F2DBDB" w:themeFill="accent2" w:themeFillTint="33"/>
            <w:tcMar>
              <w:top w:w="15" w:type="dxa"/>
              <w:left w:w="43" w:type="dxa"/>
              <w:bottom w:w="15" w:type="dxa"/>
              <w:right w:w="15" w:type="dxa"/>
            </w:tcMar>
            <w:vAlign w:val="center"/>
            <w:hideMark/>
          </w:tcPr>
          <w:p w14:paraId="2DFAECFD" w14:textId="77777777" w:rsidR="00B8010A" w:rsidRPr="0053604B" w:rsidRDefault="00B8010A" w:rsidP="00B8010A">
            <w:pPr>
              <w:pStyle w:val="Normaltable"/>
              <w:keepNext/>
              <w:keepLines/>
              <w:ind w:right="107"/>
              <w:jc w:val="right"/>
              <w:rPr>
                <w:sz w:val="16"/>
                <w:szCs w:val="16"/>
              </w:rPr>
            </w:pPr>
            <w:r w:rsidRPr="0053604B">
              <w:rPr>
                <w:rFonts w:cstheme="minorHAnsi"/>
                <w:szCs w:val="24"/>
              </w:rPr>
              <w:t>Choice</w:t>
            </w:r>
          </w:p>
        </w:tc>
        <w:tc>
          <w:tcPr>
            <w:tcW w:w="1705" w:type="pct"/>
            <w:tcBorders>
              <w:top w:val="inset" w:sz="8" w:space="0" w:color="auto"/>
              <w:left w:val="inset" w:sz="8" w:space="0" w:color="auto"/>
              <w:bottom w:val="single" w:sz="2" w:space="0" w:color="auto"/>
              <w:right w:val="inset" w:sz="8" w:space="0" w:color="auto"/>
            </w:tcBorders>
            <w:shd w:val="clear" w:color="auto" w:fill="F2DBDB" w:themeFill="accent2" w:themeFillTint="33"/>
            <w:vAlign w:val="center"/>
            <w:hideMark/>
          </w:tcPr>
          <w:p w14:paraId="0E6278A2" w14:textId="77777777" w:rsidR="00B8010A" w:rsidRPr="0053604B" w:rsidRDefault="00B8010A" w:rsidP="00B8010A">
            <w:pPr>
              <w:pStyle w:val="Normaltable"/>
              <w:keepNext/>
              <w:keepLines/>
              <w:jc w:val="center"/>
              <w:rPr>
                <w:szCs w:val="24"/>
              </w:rPr>
            </w:pPr>
            <w:r w:rsidRPr="0053604B">
              <w:rPr>
                <w:szCs w:val="24"/>
              </w:rPr>
              <w:sym w:font="Wingdings" w:char="F0A8"/>
            </w:r>
          </w:p>
        </w:tc>
        <w:tc>
          <w:tcPr>
            <w:tcW w:w="1533" w:type="pct"/>
            <w:tcBorders>
              <w:top w:val="inset" w:sz="8" w:space="0" w:color="auto"/>
              <w:left w:val="inset" w:sz="8" w:space="0" w:color="auto"/>
              <w:bottom w:val="single" w:sz="2" w:space="0" w:color="auto"/>
              <w:right w:val="inset" w:sz="8" w:space="0" w:color="auto"/>
            </w:tcBorders>
            <w:shd w:val="clear" w:color="auto" w:fill="F2DBDB" w:themeFill="accent2" w:themeFillTint="33"/>
            <w:vAlign w:val="center"/>
            <w:hideMark/>
          </w:tcPr>
          <w:p w14:paraId="72BAA6B4" w14:textId="77777777" w:rsidR="00B8010A" w:rsidRPr="0053604B" w:rsidRDefault="00B8010A" w:rsidP="00B8010A">
            <w:pPr>
              <w:pStyle w:val="Normaltable"/>
              <w:keepNext/>
              <w:keepLines/>
              <w:jc w:val="center"/>
              <w:rPr>
                <w:szCs w:val="24"/>
              </w:rPr>
            </w:pPr>
            <w:r w:rsidRPr="0053604B">
              <w:rPr>
                <w:szCs w:val="24"/>
              </w:rPr>
              <w:sym w:font="Wingdings" w:char="F0A8"/>
            </w:r>
          </w:p>
        </w:tc>
      </w:tr>
    </w:tbl>
    <w:p w14:paraId="723F35E5" w14:textId="65409B63" w:rsidR="00B8010A" w:rsidRDefault="00B8010A" w:rsidP="00853BDF">
      <w:r>
        <w:t xml:space="preserve"> </w:t>
      </w:r>
    </w:p>
    <w:p w14:paraId="3599300B" w14:textId="7E03758B" w:rsidR="00853BDF" w:rsidRPr="00854EF2" w:rsidRDefault="00853BDF" w:rsidP="00853BDF">
      <w:r w:rsidRPr="00854EF2">
        <w:t>The survey was deployed between April and June 2014 (</w:t>
      </w:r>
      <w:r w:rsidR="00A87812">
        <w:t xml:space="preserve">but </w:t>
      </w:r>
      <w:r w:rsidRPr="00854EF2">
        <w:t>exclud</w:t>
      </w:r>
      <w:r w:rsidR="00A87812">
        <w:t>ed</w:t>
      </w:r>
      <w:r w:rsidRPr="00854EF2">
        <w:t xml:space="preserve"> </w:t>
      </w:r>
      <w:r w:rsidR="00B64F0D" w:rsidRPr="00854EF2">
        <w:t xml:space="preserve">a </w:t>
      </w:r>
      <w:r w:rsidRPr="00854EF2">
        <w:t xml:space="preserve">week </w:t>
      </w:r>
      <w:r w:rsidR="00A87812">
        <w:t xml:space="preserve">with a </w:t>
      </w:r>
      <w:r w:rsidRPr="00854EF2">
        <w:t xml:space="preserve">public holiday). The survey took an average of around 13 minutes to complete. Deployment occurred in all of Hanoi’s 22 districts, were distributed across the day and evening, and covered location types such as households, offices, schools, recreation areas, shopping malls, on-street, bus stops and parking areas. The intent of disaggregating the discrete choice model estimation by socio-demographic and trip-making characteristics required a substantial sample size. The low cost of survey deployment and data entry tasks allowed such a survey to be undertaken. For each of the routine and non-routine trip types, the objective was a minimum of 2,700 surveys to allow the complete survey database to be divided by up to </w:t>
      </w:r>
      <w:r w:rsidR="00E1005D">
        <w:t>five</w:t>
      </w:r>
      <w:r w:rsidRPr="00854EF2">
        <w:t xml:space="preserve"> possible population sub-groups with sufficient statistical validity. In the end, a total of 6,047 survey responses were </w:t>
      </w:r>
      <w:r w:rsidR="00B64F0D" w:rsidRPr="00854EF2">
        <w:lastRenderedPageBreak/>
        <w:t>collected</w:t>
      </w:r>
      <w:r w:rsidRPr="00854EF2">
        <w:t>, with 5,993</w:t>
      </w:r>
      <w:r w:rsidR="00E1005D">
        <w:t xml:space="preserve"> complete</w:t>
      </w:r>
      <w:r w:rsidRPr="00854EF2">
        <w:t xml:space="preserve"> records. This provide</w:t>
      </w:r>
      <w:r w:rsidR="00E1005D">
        <w:t>d</w:t>
      </w:r>
      <w:r w:rsidRPr="00854EF2">
        <w:t xml:space="preserve"> a database of almost 54,000 scenario choices. The sampling rates sought to match the gender and age profile of the population, and also to obtain a sufficient sample of lesser sub-groups such as bus and car users and higher income groups to allow a full model specification to be achieved.</w:t>
      </w:r>
    </w:p>
    <w:p w14:paraId="50D4DA11" w14:textId="65C4BB2D" w:rsidR="00853BDF" w:rsidRPr="00854EF2" w:rsidRDefault="00F90A42" w:rsidP="00853BDF">
      <w:r w:rsidRPr="00854EF2">
        <w:t>The data allows mode choice model estimations to be made taking account of the m</w:t>
      </w:r>
      <w:r w:rsidR="00853BDF" w:rsidRPr="00854EF2">
        <w:t xml:space="preserve">ode attributes described in Table 1. Revealed preference data </w:t>
      </w:r>
      <w:r w:rsidRPr="00854EF2">
        <w:t xml:space="preserve">also </w:t>
      </w:r>
      <w:r w:rsidR="00853BDF" w:rsidRPr="00854EF2">
        <w:t>allow</w:t>
      </w:r>
      <w:r w:rsidRPr="00854EF2">
        <w:t>s</w:t>
      </w:r>
      <w:r w:rsidR="00853BDF" w:rsidRPr="00854EF2">
        <w:t xml:space="preserve"> for the identification of population sub-groups </w:t>
      </w:r>
      <w:r w:rsidRPr="00854EF2">
        <w:t xml:space="preserve">(based on socio-demographic and trip making characteristics), </w:t>
      </w:r>
      <w:r w:rsidR="00853BDF" w:rsidRPr="00854EF2">
        <w:t>and hence the development of multiple discrete choice models that account for differences in choice-making behaviour between the groups. Utility functions and parameter estimates that are derived in the estimation process will provid</w:t>
      </w:r>
      <w:r w:rsidR="005F734A">
        <w:t>e</w:t>
      </w:r>
      <w:r w:rsidR="00853BDF" w:rsidRPr="00854EF2">
        <w:t xml:space="preserve"> the models with the ability to test a range of policy options on different population types.</w:t>
      </w:r>
      <w:r w:rsidRPr="00854EF2">
        <w:t xml:space="preserve"> The current paper describes results of </w:t>
      </w:r>
      <w:r w:rsidR="00361BD8" w:rsidRPr="00854EF2">
        <w:t xml:space="preserve">the </w:t>
      </w:r>
      <w:r w:rsidRPr="00854EF2">
        <w:t>analyses undertaken to date.</w:t>
      </w:r>
    </w:p>
    <w:p w14:paraId="10BEAC06" w14:textId="56E8C7E6" w:rsidR="00853BDF" w:rsidRPr="00854EF2" w:rsidRDefault="00853BDF" w:rsidP="00853BDF">
      <w:r w:rsidRPr="00854EF2">
        <w:t>The second survey, described here as the travel quality survey, addressed the relative importance of service quality factors. The survey was based on quality of service factors that were identified in the focus groups and other discussions</w:t>
      </w:r>
      <w:r w:rsidR="00AF40B1">
        <w:t xml:space="preserve"> with full questionnaire presented in Economic and Policy Services Pty Ltd et al (2014)</w:t>
      </w:r>
      <w:r w:rsidRPr="00854EF2">
        <w:t xml:space="preserve">. The front end of the survey used the same socio-economic questions as used in the SP survey so that </w:t>
      </w:r>
      <w:r w:rsidR="00B36D2C">
        <w:t>relationships and connections between respondent cohorts from both surveys can be established</w:t>
      </w:r>
      <w:r w:rsidRPr="00854EF2">
        <w:t xml:space="preserve">. It also sought additional information on vehicle ownership and use. Finally, it used a Likert scale approach </w:t>
      </w:r>
      <w:r w:rsidR="00946FD4" w:rsidRPr="00854EF2">
        <w:t>(</w:t>
      </w:r>
      <w:r w:rsidR="00782659" w:rsidRPr="00854EF2">
        <w:t>Likert</w:t>
      </w:r>
      <w:r w:rsidR="00946FD4" w:rsidRPr="00854EF2">
        <w:t xml:space="preserve">, 1932, </w:t>
      </w:r>
      <w:r w:rsidR="00782659" w:rsidRPr="00854EF2">
        <w:t xml:space="preserve">Meyers </w:t>
      </w:r>
      <w:r w:rsidR="00946FD4" w:rsidRPr="00854EF2">
        <w:t xml:space="preserve">et al, 2005) </w:t>
      </w:r>
      <w:r w:rsidRPr="00854EF2">
        <w:t xml:space="preserve">to identify the relative importance of 12 matters that </w:t>
      </w:r>
      <w:r w:rsidR="005F734A">
        <w:t>can</w:t>
      </w:r>
      <w:r w:rsidR="005F734A" w:rsidRPr="00854EF2">
        <w:t xml:space="preserve"> </w:t>
      </w:r>
      <w:r w:rsidRPr="00854EF2">
        <w:t>influence the choice to purchase a motorcycle and 17 matters that influenced or could influence the choice by respondents to travel by motorcycle, bicycle and bus.</w:t>
      </w:r>
      <w:r w:rsidR="00F90A42" w:rsidRPr="00854EF2">
        <w:t xml:space="preserve"> </w:t>
      </w:r>
      <w:r w:rsidRPr="00854EF2">
        <w:t xml:space="preserve">The survey was deployed in the same manner </w:t>
      </w:r>
      <w:r w:rsidR="00F90A42" w:rsidRPr="00854EF2">
        <w:t xml:space="preserve">and at the same time </w:t>
      </w:r>
      <w:r w:rsidRPr="00854EF2">
        <w:t>as the mode choice survey. A total of 1,211 valid survey responses were collected.</w:t>
      </w:r>
    </w:p>
    <w:p w14:paraId="7DDA2097" w14:textId="77777777" w:rsidR="00853BDF" w:rsidRDefault="00E73748" w:rsidP="00E73748">
      <w:pPr>
        <w:pStyle w:val="SectionHeadingLevel1"/>
      </w:pPr>
      <w:r w:rsidRPr="00854EF2">
        <w:t>4. Data Analysis</w:t>
      </w:r>
    </w:p>
    <w:p w14:paraId="4EF53A63" w14:textId="23787FB6" w:rsidR="00801A81" w:rsidRDefault="00801A81" w:rsidP="00C047FF">
      <w:pPr>
        <w:pStyle w:val="SectionHeadingLevel2"/>
      </w:pPr>
      <w:r>
        <w:t>4.1 Travel Demand</w:t>
      </w:r>
    </w:p>
    <w:p w14:paraId="48C1C09C" w14:textId="6BAD4FB7" w:rsidR="0002590F" w:rsidRDefault="0002590F" w:rsidP="0002590F">
      <w:r>
        <w:t>The moto use survey illustrates the dominance of motorcycles in Hanoi, with the data indicating that:</w:t>
      </w:r>
    </w:p>
    <w:p w14:paraId="520EC186" w14:textId="4F988A72" w:rsidR="0002590F" w:rsidRDefault="0002590F" w:rsidP="0002590F">
      <w:pPr>
        <w:pStyle w:val="ListBullet"/>
      </w:pPr>
      <w:proofErr w:type="spellStart"/>
      <w:r>
        <w:t>motos</w:t>
      </w:r>
      <w:proofErr w:type="spellEnd"/>
      <w:r>
        <w:t xml:space="preserve"> comprised 85.8 percent of the traffic flow, with cars, buses and trucks respectively accounting for 12.3 percent, 0.7 percent and 1.2 percent of the traffic flow;</w:t>
      </w:r>
    </w:p>
    <w:p w14:paraId="1B231D47" w14:textId="3FAE2303" w:rsidR="0002590F" w:rsidRDefault="00684F50" w:rsidP="0002590F">
      <w:pPr>
        <w:pStyle w:val="ListBullet"/>
      </w:pPr>
      <w:r>
        <w:t xml:space="preserve">of the two-wheeled vehicles, </w:t>
      </w:r>
      <w:r w:rsidR="0002590F">
        <w:t xml:space="preserve">96.2 percent were motorcycles (on which occupants straddle the chassis), 0.6 percent were scooters (with a central </w:t>
      </w:r>
      <w:proofErr w:type="spellStart"/>
      <w:r w:rsidR="0002590F">
        <w:t>footw</w:t>
      </w:r>
      <w:r>
        <w:t>e</w:t>
      </w:r>
      <w:r w:rsidR="0002590F">
        <w:t>ll</w:t>
      </w:r>
      <w:proofErr w:type="spellEnd"/>
      <w:r w:rsidR="0002590F">
        <w:t>), 0.6 percent were electric scooters and</w:t>
      </w:r>
      <w:r w:rsidR="003115C3">
        <w:t xml:space="preserve"> </w:t>
      </w:r>
      <w:r w:rsidR="0002590F">
        <w:t>2.6 percent were bicycles;</w:t>
      </w:r>
    </w:p>
    <w:p w14:paraId="4C44D163" w14:textId="43CFB1A0" w:rsidR="0002590F" w:rsidRDefault="0002590F" w:rsidP="0002590F">
      <w:pPr>
        <w:pStyle w:val="ListBullet"/>
      </w:pPr>
      <w:r>
        <w:t xml:space="preserve">a relatively small 1.9 percent of </w:t>
      </w:r>
      <w:proofErr w:type="spellStart"/>
      <w:r>
        <w:t>motos</w:t>
      </w:r>
      <w:proofErr w:type="spellEnd"/>
      <w:r>
        <w:t xml:space="preserve"> carried a substantial quantity of goods;</w:t>
      </w:r>
    </w:p>
    <w:p w14:paraId="07219D42" w14:textId="2CF6FF93" w:rsidR="0002590F" w:rsidRDefault="0002590F" w:rsidP="0002590F">
      <w:pPr>
        <w:pStyle w:val="ListBullet"/>
      </w:pPr>
      <w:r>
        <w:t xml:space="preserve">average moto occupancy was 1.22 persons, with 78.8 percent of </w:t>
      </w:r>
      <w:proofErr w:type="spellStart"/>
      <w:r>
        <w:t>motos</w:t>
      </w:r>
      <w:proofErr w:type="spellEnd"/>
      <w:r>
        <w:t xml:space="preserve"> carrying only the driver, 20.2 percent with one passenger, 0.9 percent with two passengers and a small number with 3 or 4 passengers – the average occupancy varied </w:t>
      </w:r>
      <w:r w:rsidRPr="0002590F">
        <w:t>only marginally by time of day</w:t>
      </w:r>
      <w:r>
        <w:t xml:space="preserve">, and compares with a previous estimate of </w:t>
      </w:r>
      <w:r w:rsidRPr="0002590F">
        <w:t xml:space="preserve">average car </w:t>
      </w:r>
      <w:r>
        <w:t xml:space="preserve">occupancy of </w:t>
      </w:r>
      <w:r w:rsidRPr="0002590F">
        <w:t>2.6 persons (JICA 2007)</w:t>
      </w:r>
      <w:r>
        <w:t>;</w:t>
      </w:r>
    </w:p>
    <w:p w14:paraId="2F9A9BBC" w14:textId="639015E2" w:rsidR="0002590F" w:rsidRDefault="0002590F" w:rsidP="00B957CA">
      <w:pPr>
        <w:pStyle w:val="ListBullet"/>
      </w:pPr>
      <w:r>
        <w:t xml:space="preserve">a little more than twice as many drivers were male (68.6 percent) compared with female (31.4 percent) – this is perhaps in some contrast with the </w:t>
      </w:r>
      <w:r w:rsidRPr="0002590F">
        <w:t xml:space="preserve">female labour force participation rate </w:t>
      </w:r>
      <w:r>
        <w:t xml:space="preserve">in Vietnam in 2012 being </w:t>
      </w:r>
      <w:r w:rsidRPr="0002590F">
        <w:t>73 percent compared with a w</w:t>
      </w:r>
      <w:r>
        <w:t>orld average of 51 percent (</w:t>
      </w:r>
      <w:r w:rsidR="00B957CA" w:rsidRPr="00B957CA">
        <w:t>http://wdi.worldbank.org/table/1.1</w:t>
      </w:r>
      <w:r w:rsidR="00B957CA">
        <w:t>,</w:t>
      </w:r>
      <w:r w:rsidR="00B957CA" w:rsidRPr="00B957CA">
        <w:t xml:space="preserve"> </w:t>
      </w:r>
      <w:r w:rsidR="00B957CA">
        <w:t>a</w:t>
      </w:r>
      <w:r w:rsidR="00B957CA" w:rsidRPr="00B957CA">
        <w:t>ccessed 24 July 2014</w:t>
      </w:r>
      <w:r>
        <w:t>);</w:t>
      </w:r>
    </w:p>
    <w:p w14:paraId="59553BF5" w14:textId="0FF70BFD" w:rsidR="0002590F" w:rsidRDefault="0002590F" w:rsidP="0002590F">
      <w:pPr>
        <w:pStyle w:val="ListBullet"/>
      </w:pPr>
      <w:r>
        <w:t>47.5 percent of moto occupants wore masks/comforters - people may wear masks where they have a cold or to protect themselves from cold air, though the conduct of the survey in late June, when weather conditions were fine, reduces the likelihood of these reasons, and hence the result is taken to indicate a concern about pollution;</w:t>
      </w:r>
    </w:p>
    <w:p w14:paraId="35EA1CD7" w14:textId="2D9ACC0B" w:rsidR="0002590F" w:rsidRDefault="0002590F" w:rsidP="0002590F">
      <w:pPr>
        <w:pStyle w:val="ListBullet"/>
      </w:pPr>
      <w:r>
        <w:lastRenderedPageBreak/>
        <w:t xml:space="preserve">4.4 percent of </w:t>
      </w:r>
      <w:proofErr w:type="spellStart"/>
      <w:r>
        <w:t>motos</w:t>
      </w:r>
      <w:proofErr w:type="spellEnd"/>
      <w:r>
        <w:t xml:space="preserve"> carried children (i.e. passengers judged to be under 15 years of age); and</w:t>
      </w:r>
    </w:p>
    <w:p w14:paraId="71614117" w14:textId="329841EC" w:rsidR="0002590F" w:rsidRDefault="0002590F" w:rsidP="0002590F">
      <w:pPr>
        <w:pStyle w:val="ListBullet"/>
      </w:pPr>
      <w:proofErr w:type="gramStart"/>
      <w:r>
        <w:t>helmet</w:t>
      </w:r>
      <w:proofErr w:type="gramEnd"/>
      <w:r>
        <w:t xml:space="preserve"> wearing is generally high, with </w:t>
      </w:r>
      <w:r w:rsidRPr="0002590F">
        <w:t>98.0 percent of motorcycle drivers and a slightly lower 95.1 percent of adult passengers wear</w:t>
      </w:r>
      <w:r w:rsidR="00AF3B3B">
        <w:t>ing</w:t>
      </w:r>
      <w:r w:rsidRPr="0002590F">
        <w:t xml:space="preserve"> helmets, </w:t>
      </w:r>
      <w:r w:rsidR="00AF3B3B">
        <w:t xml:space="preserve">but </w:t>
      </w:r>
      <w:r w:rsidRPr="0002590F">
        <w:t>an alarmingly low 26.5 percent of children wear</w:t>
      </w:r>
      <w:r w:rsidR="00AF3B3B">
        <w:t>ing</w:t>
      </w:r>
      <w:r w:rsidRPr="0002590F">
        <w:t xml:space="preserve"> them</w:t>
      </w:r>
      <w:r>
        <w:t>.</w:t>
      </w:r>
    </w:p>
    <w:p w14:paraId="7AC24953" w14:textId="1B7E6082" w:rsidR="00D665C4" w:rsidRDefault="00D665C4" w:rsidP="00C047FF">
      <w:r>
        <w:t>The mode choice survey provided information on the trips canvassed, including:</w:t>
      </w:r>
    </w:p>
    <w:p w14:paraId="6200C206" w14:textId="52F8C09B" w:rsidR="00D665C4" w:rsidRDefault="00D665C4" w:rsidP="00D665C4">
      <w:pPr>
        <w:pStyle w:val="ListBullet"/>
      </w:pPr>
      <w:r>
        <w:t xml:space="preserve">The average distance of routine and non-routine trips was 6.8 km and 7.9 km respectively. Respective average travel times of 20.4 minutes and 20.9 minutes </w:t>
      </w:r>
      <w:r w:rsidR="002B5D10">
        <w:t xml:space="preserve">(giving average respective speeds of 20 </w:t>
      </w:r>
      <w:proofErr w:type="spellStart"/>
      <w:r w:rsidR="002B5D10">
        <w:t>kph</w:t>
      </w:r>
      <w:proofErr w:type="spellEnd"/>
      <w:r w:rsidR="002B5D10">
        <w:t xml:space="preserve"> and 23 </w:t>
      </w:r>
      <w:proofErr w:type="spellStart"/>
      <w:r w:rsidR="002B5D10">
        <w:t>kph</w:t>
      </w:r>
      <w:proofErr w:type="spellEnd"/>
      <w:r w:rsidR="002B5D10">
        <w:t xml:space="preserve">) </w:t>
      </w:r>
      <w:r>
        <w:t xml:space="preserve">reflect the </w:t>
      </w:r>
      <w:r w:rsidR="002B5D10">
        <w:t>greater likelihood of non-</w:t>
      </w:r>
      <w:r>
        <w:t>routine trips</w:t>
      </w:r>
      <w:r w:rsidR="002B5D10">
        <w:t xml:space="preserve"> occurring outside</w:t>
      </w:r>
      <w:r>
        <w:t xml:space="preserve"> peak periods. </w:t>
      </w:r>
    </w:p>
    <w:p w14:paraId="29AE38DA" w14:textId="77777777" w:rsidR="002B5D10" w:rsidRDefault="00D665C4" w:rsidP="00D665C4">
      <w:pPr>
        <w:pStyle w:val="ListBullet"/>
      </w:pPr>
      <w:r>
        <w:t xml:space="preserve">Average travel speeds are relatively low, which is consistent with the level of traffic congestion, poor traffic behaviour and a general propensity to travel at low speeds. </w:t>
      </w:r>
    </w:p>
    <w:p w14:paraId="039E626E" w14:textId="77777777" w:rsidR="002B5D10" w:rsidRDefault="00D665C4" w:rsidP="00D665C4">
      <w:pPr>
        <w:pStyle w:val="ListBullet"/>
      </w:pPr>
      <w:r>
        <w:t xml:space="preserve">The majority of persons surveyed on routine trip activity reported that commuting was their primary trip purpose at (74 percent) with education following (at 20 percent). Other routine trip types combined accounted for 6 percent. Non-routine trip types were predominantly for shopping purposes (51 percent), closely followed by recreation (44 percent) and other purposes (5 percent). </w:t>
      </w:r>
    </w:p>
    <w:p w14:paraId="6AE92E9C" w14:textId="77777777" w:rsidR="002B5D10" w:rsidRDefault="00D665C4" w:rsidP="00D665C4">
      <w:pPr>
        <w:pStyle w:val="ListBullet"/>
      </w:pPr>
      <w:r>
        <w:t xml:space="preserve">A feature of private mobility that is more difficult with public transport is the ability to stop in the course of a trip to undertake some additional activity. In the case of in Hanoi, 11.8 percent of the surveyed trips involved stopping off for at least one additional activity (with 1.9 percent of trips stopping 2 or 3 times). The main activities that respondents stopped to do were to pick up or drop of another person (44.2 percent of stops) and shopping (32.4 percent of trips). </w:t>
      </w:r>
    </w:p>
    <w:p w14:paraId="0FBCA093" w14:textId="711FB248" w:rsidR="00D665C4" w:rsidRDefault="00D665C4" w:rsidP="00D665C4">
      <w:pPr>
        <w:pStyle w:val="ListBullet"/>
      </w:pPr>
      <w:r>
        <w:t>Free parking facilitates private travel, and 76.1 percent of respondents making trips by motorcycle did not need to pay for parking at their destination. The average cost of parking is, at $0.</w:t>
      </w:r>
      <w:r w:rsidR="002B5D10">
        <w:t xml:space="preserve">25 for motorcycles and </w:t>
      </w:r>
      <w:r>
        <w:t>$</w:t>
      </w:r>
      <w:r w:rsidR="002B5D10">
        <w:t>1.2</w:t>
      </w:r>
      <w:r>
        <w:t>0 for cars, low.</w:t>
      </w:r>
    </w:p>
    <w:p w14:paraId="07E3690F" w14:textId="17D19EE1" w:rsidR="0013105D" w:rsidRDefault="002B5D10" w:rsidP="00C047FF">
      <w:r>
        <w:t>The travel quality survey was used to obtain additional information about travel by the respondents as well as their views of the relative importance of matters affecting vehicle ownership and use</w:t>
      </w:r>
      <w:r w:rsidR="0013105D">
        <w:t>. Of some note was their involvement in crashes:</w:t>
      </w:r>
    </w:p>
    <w:p w14:paraId="51A8C12D" w14:textId="307017ED" w:rsidR="0013105D" w:rsidRDefault="002B5D10" w:rsidP="0013105D">
      <w:pPr>
        <w:pStyle w:val="ListBullet"/>
      </w:pPr>
      <w:r>
        <w:t xml:space="preserve">Of the sample of 1,211 respondents, 106 had been involved in a traffic accident in the previous 6 months, with property damage, minor injury and major injury accidents respectively accounting for 35 percent, 61 percent and 4 percent of the accidents. No fatalities occurred as a result of the accidents in this 6 month period. </w:t>
      </w:r>
    </w:p>
    <w:p w14:paraId="65EB1DC9" w14:textId="5752B5A4" w:rsidR="0013105D" w:rsidRDefault="0013105D" w:rsidP="0013105D">
      <w:pPr>
        <w:pStyle w:val="ListBullet"/>
      </w:pPr>
      <w:r>
        <w:t xml:space="preserve">The </w:t>
      </w:r>
      <w:r w:rsidR="002B5D10">
        <w:t>frequency of accidents</w:t>
      </w:r>
      <w:r>
        <w:t xml:space="preserve"> is high</w:t>
      </w:r>
      <w:r w:rsidR="002B5D10">
        <w:t xml:space="preserve">, with each person on average likely to be involved in an accident every 6 years. The vulnerability of motorcyclists to harm is indicated by the almost two-thirds who incur an injury. </w:t>
      </w:r>
    </w:p>
    <w:p w14:paraId="4802E39A" w14:textId="1681FA0B" w:rsidR="002B5D10" w:rsidRDefault="002B5D10" w:rsidP="0013105D">
      <w:pPr>
        <w:pStyle w:val="ListBullet"/>
      </w:pPr>
      <w:r>
        <w:t>Respondents were also asked to indicate the number and types of accidents in which they had been involved in the prior 18 month period (i.e. from 6 to 24 months before the survey) and in the 3 years prior to that. The response was a much lower rate of reported accidents, with the accident rate for the 18 month and 3 years periods being 41 percent and 17 percent respectively of the initial 6 month period</w:t>
      </w:r>
      <w:r w:rsidR="0013105D">
        <w:t>. W</w:t>
      </w:r>
      <w:r>
        <w:t xml:space="preserve">hile it is possible that accident rates has increased over time, the lower rate for more distant periods is considered to more likely reflect diminished memory, and is a caution for surveys that seek information on events that occurred some time ago. Public accident statistics </w:t>
      </w:r>
      <w:r w:rsidR="005F734A">
        <w:t>are</w:t>
      </w:r>
      <w:r>
        <w:t xml:space="preserve"> of insufficient quality to allow benchmarking </w:t>
      </w:r>
      <w:r w:rsidR="007656DA">
        <w:t xml:space="preserve">of the change in accident rates </w:t>
      </w:r>
      <w:r>
        <w:t>over time.</w:t>
      </w:r>
    </w:p>
    <w:p w14:paraId="0697D5F2" w14:textId="32BBC828" w:rsidR="00404F55" w:rsidRDefault="0032458C" w:rsidP="00C047FF">
      <w:r>
        <w:rPr>
          <w:noProof/>
          <w:sz w:val="18"/>
        </w:rPr>
        <w:lastRenderedPageBreak/>
        <mc:AlternateContent>
          <mc:Choice Requires="wps">
            <w:drawing>
              <wp:anchor distT="144145" distB="71755" distL="180340" distR="180340" simplePos="0" relativeHeight="251663360" behindDoc="0" locked="0" layoutInCell="1" allowOverlap="1" wp14:anchorId="7D088282" wp14:editId="329AEC5D">
                <wp:simplePos x="0" y="0"/>
                <wp:positionH relativeFrom="margin">
                  <wp:align>left</wp:align>
                </wp:positionH>
                <wp:positionV relativeFrom="margin">
                  <wp:align>top</wp:align>
                </wp:positionV>
                <wp:extent cx="3600000" cy="2458800"/>
                <wp:effectExtent l="0" t="0" r="635"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2458800"/>
                        </a:xfrm>
                        <a:prstGeom prst="rect">
                          <a:avLst/>
                        </a:prstGeom>
                        <a:solidFill>
                          <a:srgbClr val="FFFFFF"/>
                        </a:solidFill>
                        <a:ln w="9525">
                          <a:noFill/>
                          <a:miter lim="800000"/>
                          <a:headEnd/>
                          <a:tailEnd/>
                        </a:ln>
                      </wps:spPr>
                      <wps:txbx>
                        <w:txbxContent>
                          <w:p w14:paraId="3546A2F4" w14:textId="1B4B48D7" w:rsidR="00002089" w:rsidRPr="00834446" w:rsidRDefault="00002089" w:rsidP="00404F55">
                            <w:pPr>
                              <w:pStyle w:val="CaptionFigure"/>
                            </w:pPr>
                            <w:r>
                              <w:t xml:space="preserve">Figure </w:t>
                            </w:r>
                            <w:r w:rsidR="003601B2">
                              <w:t>3</w:t>
                            </w:r>
                            <w:r w:rsidRPr="00834446">
                              <w:t>: Motorcycle Ownership and Income in Hanoi</w:t>
                            </w:r>
                          </w:p>
                          <w:p w14:paraId="71E635B7" w14:textId="77777777" w:rsidR="00002089" w:rsidRDefault="00002089" w:rsidP="00404F55">
                            <w:r w:rsidRPr="00524DEB">
                              <w:rPr>
                                <w:noProof/>
                              </w:rPr>
                              <w:drawing>
                                <wp:inline distT="0" distB="0" distL="0" distR="0" wp14:anchorId="66C4A40F" wp14:editId="7B10A688">
                                  <wp:extent cx="3563351" cy="2076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 r="1370"/>
                                          <a:stretch/>
                                        </pic:blipFill>
                                        <pic:spPr bwMode="auto">
                                          <a:xfrm>
                                            <a:off x="0" y="0"/>
                                            <a:ext cx="3633400" cy="211726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88282" id="_x0000_t202" coordsize="21600,21600" o:spt="202" path="m,l,21600r21600,l21600,xe">
                <v:stroke joinstyle="miter"/>
                <v:path gradientshapeok="t" o:connecttype="rect"/>
              </v:shapetype>
              <v:shape id="Text Box 17" o:spid="_x0000_s1026" type="#_x0000_t202" style="position:absolute;left:0;text-align:left;margin-left:0;margin-top:0;width:283.45pt;height:193.6pt;z-index:251663360;visibility:visible;mso-wrap-style:square;mso-width-percent:0;mso-height-percent:0;mso-wrap-distance-left:14.2pt;mso-wrap-distance-top:11.35pt;mso-wrap-distance-right:14.2pt;mso-wrap-distance-bottom:5.65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" stroked="f">
                <v:textbox inset="0,0,1mm,0">
                  <w:txbxContent>
                    <w:p w14:paraId="3546A2F4" w14:textId="1B4B48D7" w:rsidR="00002089" w:rsidRPr="00834446" w:rsidRDefault="00002089" w:rsidP="00404F55">
                      <w:pPr>
                        <w:pStyle w:val="CaptionFigure"/>
                      </w:pPr>
                      <w:r>
                        <w:t xml:space="preserve">Figure </w:t>
                      </w:r>
                      <w:r w:rsidR="003601B2">
                        <w:t>3</w:t>
                      </w:r>
                      <w:r w:rsidRPr="00834446">
                        <w:t>: Motorcycle Ownership and Income in Hanoi</w:t>
                      </w:r>
                    </w:p>
                    <w:p w14:paraId="71E635B7" w14:textId="77777777" w:rsidR="00002089" w:rsidRDefault="00002089" w:rsidP="00404F55">
                      <w:r w:rsidRPr="00524DEB">
                        <w:rPr>
                          <w:noProof/>
                        </w:rPr>
                        <w:drawing>
                          <wp:inline distT="0" distB="0" distL="0" distR="0" wp14:anchorId="66C4A40F" wp14:editId="7B10A688">
                            <wp:extent cx="3563351" cy="20764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 r="1370"/>
                                    <a:stretch/>
                                  </pic:blipFill>
                                  <pic:spPr bwMode="auto">
                                    <a:xfrm>
                                      <a:off x="0" y="0"/>
                                      <a:ext cx="3633400" cy="211726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sidR="00404F55">
        <w:t>In addition, the survey was used to assemble information on motorcycle ownership. The data indicated that m</w:t>
      </w:r>
      <w:r w:rsidR="00404F55" w:rsidRPr="00404F55">
        <w:t xml:space="preserve">otorcycle ownership by people from households with income in the lowest quintile </w:t>
      </w:r>
      <w:r w:rsidR="00404F55">
        <w:t>wa</w:t>
      </w:r>
      <w:r w:rsidR="00404F55" w:rsidRPr="00404F55">
        <w:t>s half of that for people from households with income from the highest income quintile (0.46 motorcycles per person versus 0.95 motorcycles per person)</w:t>
      </w:r>
      <w:r w:rsidR="00404F55">
        <w:t>. O</w:t>
      </w:r>
      <w:r w:rsidR="00404F55" w:rsidRPr="00404F55">
        <w:t xml:space="preserve">wnership </w:t>
      </w:r>
      <w:r w:rsidR="00404F55">
        <w:t xml:space="preserve">was </w:t>
      </w:r>
      <w:r w:rsidR="00404F55" w:rsidRPr="00404F55">
        <w:t>very closely correlated with income</w:t>
      </w:r>
      <w:r w:rsidR="00404F55">
        <w:t xml:space="preserve"> (see Figure </w:t>
      </w:r>
      <w:r w:rsidR="003601B2">
        <w:t>3</w:t>
      </w:r>
      <w:r w:rsidR="00404F55">
        <w:t xml:space="preserve">), suggesting that </w:t>
      </w:r>
      <w:r w:rsidR="003601B2">
        <w:t xml:space="preserve">ongoing increases in </w:t>
      </w:r>
      <w:r w:rsidR="00404F55" w:rsidRPr="00404F55">
        <w:t xml:space="preserve">personal income </w:t>
      </w:r>
      <w:r w:rsidR="003601B2">
        <w:t xml:space="preserve">could </w:t>
      </w:r>
      <w:r>
        <w:t xml:space="preserve">result in </w:t>
      </w:r>
      <w:r w:rsidR="003601B2">
        <w:t xml:space="preserve">continued growth in the </w:t>
      </w:r>
      <w:r>
        <w:t>ownership and use of vehicles.</w:t>
      </w:r>
    </w:p>
    <w:p w14:paraId="3EF0190B" w14:textId="294C0434" w:rsidR="00B6464C" w:rsidRDefault="00B6464C" w:rsidP="00C047FF">
      <w:pPr>
        <w:pStyle w:val="SectionHeadingLevel2"/>
      </w:pPr>
      <w:r>
        <w:t>4.2 Travel Choice</w:t>
      </w:r>
    </w:p>
    <w:p w14:paraId="34214CD3" w14:textId="18C363C5" w:rsidR="00E73748" w:rsidRDefault="00AF3B3B" w:rsidP="00E73748">
      <w:r>
        <w:t>The r</w:t>
      </w:r>
      <w:r w:rsidR="00946FD4" w:rsidRPr="00854EF2">
        <w:t>esults of the mode choice s</w:t>
      </w:r>
      <w:r w:rsidR="00C60F67" w:rsidRPr="00854EF2">
        <w:t>urvey have been utilised to estimate discrete choice model</w:t>
      </w:r>
      <w:r w:rsidR="006B176A" w:rsidRPr="00854EF2">
        <w:t>s</w:t>
      </w:r>
      <w:r w:rsidR="00C60F67" w:rsidRPr="00854EF2">
        <w:t xml:space="preserve"> representing </w:t>
      </w:r>
      <w:r w:rsidR="006B176A" w:rsidRPr="00854EF2">
        <w:t xml:space="preserve">the </w:t>
      </w:r>
      <w:r w:rsidR="00C60F67" w:rsidRPr="00854EF2">
        <w:t>mode cho</w:t>
      </w:r>
      <w:r w:rsidR="00946FD4" w:rsidRPr="00854EF2">
        <w:t>ice decision</w:t>
      </w:r>
      <w:r w:rsidR="006B176A" w:rsidRPr="00854EF2">
        <w:t>s</w:t>
      </w:r>
      <w:r w:rsidR="00946FD4" w:rsidRPr="00854EF2">
        <w:t xml:space="preserve"> of Hanoi residents. Inclusions </w:t>
      </w:r>
      <w:r w:rsidR="009C7FDB" w:rsidRPr="00854EF2">
        <w:t>such as revealed preference responses</w:t>
      </w:r>
      <w:r w:rsidR="00C60F67" w:rsidRPr="00854EF2">
        <w:t xml:space="preserve"> </w:t>
      </w:r>
      <w:r w:rsidR="00946FD4" w:rsidRPr="00854EF2">
        <w:t>allow</w:t>
      </w:r>
      <w:r w:rsidR="00C60F67" w:rsidRPr="00854EF2">
        <w:t xml:space="preserve"> for multiple models estima</w:t>
      </w:r>
      <w:r w:rsidR="00C60F67" w:rsidRPr="00C60F67">
        <w:t>tions with respect to various trip purposes based on routine and non-routine trip</w:t>
      </w:r>
      <w:r w:rsidR="006B176A">
        <w:t xml:space="preserve"> types. Prior to this</w:t>
      </w:r>
      <w:r w:rsidR="00C60F67" w:rsidRPr="00C60F67">
        <w:t xml:space="preserve"> estimation process, important stages associated with data checking and filtering, reformatting and general sample profiling prepare for the estimation of choice </w:t>
      </w:r>
      <w:r w:rsidR="009C7FDB">
        <w:t>model structures and parameters and to ensure confidence in model estimation</w:t>
      </w:r>
      <w:r w:rsidR="006B176A">
        <w:t xml:space="preserve"> result</w:t>
      </w:r>
      <w:r w:rsidR="009C7FDB">
        <w:t>.</w:t>
      </w:r>
    </w:p>
    <w:p w14:paraId="7C8CF9D0" w14:textId="47F54438" w:rsidR="00082269" w:rsidRPr="00C047FF" w:rsidRDefault="009C7FDB" w:rsidP="00E73748">
      <w:pPr>
        <w:rPr>
          <w:szCs w:val="22"/>
        </w:rPr>
      </w:pPr>
      <w:r w:rsidRPr="00C047FF">
        <w:rPr>
          <w:szCs w:val="22"/>
        </w:rPr>
        <w:t>The full sample of</w:t>
      </w:r>
      <w:r w:rsidR="006B176A" w:rsidRPr="00C047FF">
        <w:rPr>
          <w:szCs w:val="22"/>
        </w:rPr>
        <w:t xml:space="preserve"> survey respondents aged</w:t>
      </w:r>
      <w:r w:rsidRPr="00C047FF">
        <w:rPr>
          <w:szCs w:val="22"/>
        </w:rPr>
        <w:t xml:space="preserve"> over 18 years achieved a male-female split of </w:t>
      </w:r>
      <w:r w:rsidR="00C60F67" w:rsidRPr="00C047FF">
        <w:rPr>
          <w:szCs w:val="22"/>
        </w:rPr>
        <w:t>close to 50-50 with a total male sample of 2,972 and total female sample of 3,021</w:t>
      </w:r>
      <w:r w:rsidR="006B176A" w:rsidRPr="00C047FF">
        <w:rPr>
          <w:szCs w:val="22"/>
        </w:rPr>
        <w:t xml:space="preserve"> </w:t>
      </w:r>
      <w:r w:rsidR="00AF3B3B" w:rsidRPr="00C047FF">
        <w:rPr>
          <w:szCs w:val="22"/>
        </w:rPr>
        <w:t xml:space="preserve">(see </w:t>
      </w:r>
      <w:r w:rsidR="00404F55" w:rsidRPr="00C047FF">
        <w:rPr>
          <w:szCs w:val="22"/>
        </w:rPr>
        <w:t xml:space="preserve">Figure </w:t>
      </w:r>
      <w:r w:rsidR="003601B2">
        <w:rPr>
          <w:szCs w:val="22"/>
        </w:rPr>
        <w:t>4</w:t>
      </w:r>
      <w:r w:rsidR="00AF3B3B" w:rsidRPr="00C047FF">
        <w:rPr>
          <w:szCs w:val="22"/>
        </w:rPr>
        <w:t>)</w:t>
      </w:r>
      <w:r w:rsidRPr="00C047FF">
        <w:rPr>
          <w:szCs w:val="22"/>
        </w:rPr>
        <w:t xml:space="preserve">. </w:t>
      </w:r>
      <w:r w:rsidR="00082269" w:rsidRPr="00C047FF">
        <w:rPr>
          <w:szCs w:val="22"/>
        </w:rPr>
        <w:t>The majority (62 percent) of all respondents are aged 35 years or younger and reported household incomes reveal that the majority of respondents (38 percent) are from middle-income house</w:t>
      </w:r>
      <w:r w:rsidR="00613A9C" w:rsidRPr="00C047FF">
        <w:rPr>
          <w:szCs w:val="22"/>
        </w:rPr>
        <w:t>-</w:t>
      </w:r>
      <w:r w:rsidR="00082269" w:rsidRPr="00C047FF">
        <w:rPr>
          <w:szCs w:val="22"/>
        </w:rPr>
        <w:t>holds earning from between 10</w:t>
      </w:r>
      <w:r w:rsidR="00916672" w:rsidRPr="00C047FF">
        <w:rPr>
          <w:szCs w:val="22"/>
        </w:rPr>
        <w:t>-</w:t>
      </w:r>
      <w:r w:rsidR="00082269" w:rsidRPr="00C047FF">
        <w:rPr>
          <w:szCs w:val="22"/>
        </w:rPr>
        <w:t xml:space="preserve">20 million </w:t>
      </w:r>
      <w:r w:rsidR="003601B2">
        <w:rPr>
          <w:szCs w:val="22"/>
        </w:rPr>
        <w:t>VND</w:t>
      </w:r>
      <w:r w:rsidR="00082269" w:rsidRPr="00C047FF">
        <w:rPr>
          <w:szCs w:val="22"/>
        </w:rPr>
        <w:t xml:space="preserve"> (</w:t>
      </w:r>
      <w:r w:rsidR="00801A81" w:rsidRPr="00C047FF">
        <w:rPr>
          <w:szCs w:val="22"/>
        </w:rPr>
        <w:t xml:space="preserve">equal to </w:t>
      </w:r>
      <w:r w:rsidR="00EF4624" w:rsidRPr="00C047FF">
        <w:rPr>
          <w:szCs w:val="22"/>
        </w:rPr>
        <w:t>$600-</w:t>
      </w:r>
      <w:r w:rsidR="00801A81" w:rsidRPr="00C047FF">
        <w:rPr>
          <w:szCs w:val="22"/>
        </w:rPr>
        <w:t>$</w:t>
      </w:r>
      <w:r w:rsidR="00EF4624" w:rsidRPr="00C047FF">
        <w:rPr>
          <w:szCs w:val="22"/>
        </w:rPr>
        <w:t>1,200 at the exchange rate</w:t>
      </w:r>
      <w:r w:rsidR="003601B2">
        <w:rPr>
          <w:szCs w:val="22"/>
        </w:rPr>
        <w:t xml:space="preserve"> in 2014</w:t>
      </w:r>
      <w:r w:rsidR="00082269" w:rsidRPr="00C047FF">
        <w:rPr>
          <w:szCs w:val="22"/>
        </w:rPr>
        <w:t>) per month.</w:t>
      </w:r>
    </w:p>
    <w:p w14:paraId="32B1499E" w14:textId="11570F25" w:rsidR="00A65928" w:rsidRDefault="004B0A40" w:rsidP="00E73748">
      <w:pPr>
        <w:rPr>
          <w:sz w:val="23"/>
          <w:szCs w:val="23"/>
        </w:rPr>
      </w:pPr>
      <w:r w:rsidRPr="00C047FF">
        <w:rPr>
          <w:noProof/>
          <w:szCs w:val="22"/>
        </w:rPr>
        <mc:AlternateContent>
          <mc:Choice Requires="wps">
            <w:drawing>
              <wp:anchor distT="107950" distB="107950" distL="114300" distR="180340" simplePos="0" relativeHeight="251667456" behindDoc="0" locked="0" layoutInCell="1" allowOverlap="1" wp14:anchorId="5F6E5A44" wp14:editId="1FB54CE5">
                <wp:simplePos x="0" y="0"/>
                <wp:positionH relativeFrom="margin">
                  <wp:align>left</wp:align>
                </wp:positionH>
                <wp:positionV relativeFrom="margin">
                  <wp:align>bottom</wp:align>
                </wp:positionV>
                <wp:extent cx="3600000" cy="2926800"/>
                <wp:effectExtent l="0" t="0" r="635"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2926800"/>
                        </a:xfrm>
                        <a:prstGeom prst="rect">
                          <a:avLst/>
                        </a:prstGeom>
                        <a:solidFill>
                          <a:srgbClr val="FFFFFF"/>
                        </a:solidFill>
                        <a:ln w="9525">
                          <a:noFill/>
                          <a:miter lim="800000"/>
                          <a:headEnd/>
                          <a:tailEnd/>
                        </a:ln>
                      </wps:spPr>
                      <wps:txbx>
                        <w:txbxContent>
                          <w:p w14:paraId="15994650" w14:textId="32362005" w:rsidR="004B0A40" w:rsidRDefault="004B0A40" w:rsidP="004B0A40">
                            <w:pPr>
                              <w:pStyle w:val="Captionstyle"/>
                            </w:pPr>
                            <w:r>
                              <w:t>Figure 4</w:t>
                            </w:r>
                            <w:r w:rsidRPr="00E17A96">
                              <w:t xml:space="preserve">: Sample population </w:t>
                            </w:r>
                            <w:r>
                              <w:t xml:space="preserve">for mode choice survey - </w:t>
                            </w:r>
                            <w:r w:rsidRPr="00E17A96">
                              <w:t>age and gender profile</w:t>
                            </w:r>
                          </w:p>
                          <w:p w14:paraId="342B27C1" w14:textId="77777777" w:rsidR="004B0A40" w:rsidRDefault="004B0A40" w:rsidP="004B0A40">
                            <w:pPr>
                              <w:jc w:val="left"/>
                            </w:pPr>
                            <w:r>
                              <w:rPr>
                                <w:noProof/>
                              </w:rPr>
                              <w:drawing>
                                <wp:inline distT="0" distB="0" distL="0" distR="0" wp14:anchorId="46593DC0" wp14:editId="7C9DDF0A">
                                  <wp:extent cx="3534541" cy="2470150"/>
                                  <wp:effectExtent l="19050" t="19050" r="2794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91" t="857" r="990" b="806"/>
                                          <a:stretch/>
                                        </pic:blipFill>
                                        <pic:spPr bwMode="auto">
                                          <a:xfrm>
                                            <a:off x="0" y="0"/>
                                            <a:ext cx="3599439" cy="2515505"/>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6A0F5E5" w14:textId="77777777" w:rsidR="004B0A40" w:rsidRDefault="004B0A40" w:rsidP="004B0A40"/>
                          <w:p w14:paraId="180649C8" w14:textId="77777777" w:rsidR="004B0A40" w:rsidRDefault="004B0A40" w:rsidP="004B0A40"/>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E5A44" id="Text Box 2" o:spid="_x0000_s1027" type="#_x0000_t202" style="position:absolute;left:0;text-align:left;margin-left:0;margin-top:0;width:283.45pt;height:230.45pt;z-index:251667456;visibility:visible;mso-wrap-style:square;mso-width-percent:0;mso-height-percent:0;mso-wrap-distance-left:9pt;mso-wrap-distance-top:8.5pt;mso-wrap-distance-right:14.2pt;mso-wrap-distance-bottom:8.5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" stroked="f">
                <v:textbox inset="0,0,0,0">
                  <w:txbxContent>
                    <w:p w14:paraId="15994650" w14:textId="32362005" w:rsidR="004B0A40" w:rsidRDefault="004B0A40" w:rsidP="004B0A40">
                      <w:pPr>
                        <w:pStyle w:val="Captionstyle"/>
                      </w:pPr>
                      <w:r>
                        <w:t>Figure 4</w:t>
                      </w:r>
                      <w:r w:rsidRPr="00E17A96">
                        <w:t xml:space="preserve">: Sample population </w:t>
                      </w:r>
                      <w:r>
                        <w:t xml:space="preserve">for mode choice survey - </w:t>
                      </w:r>
                      <w:r w:rsidRPr="00E17A96">
                        <w:t>age and gender profile</w:t>
                      </w:r>
                    </w:p>
                    <w:p w14:paraId="342B27C1" w14:textId="77777777" w:rsidR="004B0A40" w:rsidRDefault="004B0A40" w:rsidP="004B0A40">
                      <w:pPr>
                        <w:jc w:val="left"/>
                      </w:pPr>
                      <w:r>
                        <w:rPr>
                          <w:noProof/>
                        </w:rPr>
                        <w:drawing>
                          <wp:inline distT="0" distB="0" distL="0" distR="0" wp14:anchorId="46593DC0" wp14:editId="7C9DDF0A">
                            <wp:extent cx="3534541" cy="2470150"/>
                            <wp:effectExtent l="19050" t="19050" r="2794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91" t="857" r="990" b="806"/>
                                    <a:stretch/>
                                  </pic:blipFill>
                                  <pic:spPr bwMode="auto">
                                    <a:xfrm>
                                      <a:off x="0" y="0"/>
                                      <a:ext cx="3599439" cy="2515505"/>
                                    </a:xfrm>
                                    <a:prstGeom prst="rect">
                                      <a:avLst/>
                                    </a:prstGeom>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76A0F5E5" w14:textId="77777777" w:rsidR="004B0A40" w:rsidRDefault="004B0A40" w:rsidP="004B0A40"/>
                    <w:p w14:paraId="180649C8" w14:textId="77777777" w:rsidR="004B0A40" w:rsidRDefault="004B0A40" w:rsidP="004B0A40"/>
                  </w:txbxContent>
                </v:textbox>
                <w10:wrap type="square" anchorx="margin" anchory="margin"/>
              </v:shape>
            </w:pict>
          </mc:Fallback>
        </mc:AlternateContent>
      </w:r>
      <w:r w:rsidR="009C7FDB" w:rsidRPr="00C047FF">
        <w:rPr>
          <w:szCs w:val="22"/>
        </w:rPr>
        <w:t xml:space="preserve">The </w:t>
      </w:r>
      <w:r w:rsidR="00C60F67" w:rsidRPr="00C047FF">
        <w:rPr>
          <w:szCs w:val="22"/>
        </w:rPr>
        <w:t>vast majority (92 percent) of households do not own a car</w:t>
      </w:r>
      <w:r w:rsidR="005F734A">
        <w:rPr>
          <w:szCs w:val="22"/>
        </w:rPr>
        <w:t>.</w:t>
      </w:r>
      <w:r w:rsidR="00946FD4" w:rsidRPr="00C047FF">
        <w:rPr>
          <w:szCs w:val="22"/>
        </w:rPr>
        <w:t xml:space="preserve"> </w:t>
      </w:r>
      <w:r w:rsidR="005F734A">
        <w:rPr>
          <w:szCs w:val="22"/>
        </w:rPr>
        <w:t>A</w:t>
      </w:r>
      <w:r w:rsidR="00946FD4" w:rsidRPr="00C047FF">
        <w:rPr>
          <w:szCs w:val="22"/>
        </w:rPr>
        <w:t>s expected,</w:t>
      </w:r>
      <w:r w:rsidR="00A65928" w:rsidRPr="00C047FF">
        <w:rPr>
          <w:szCs w:val="22"/>
        </w:rPr>
        <w:t xml:space="preserve"> motorcycle ownership is quite a different situation with </w:t>
      </w:r>
      <w:r w:rsidR="00361BD8" w:rsidRPr="00C047FF">
        <w:rPr>
          <w:szCs w:val="22"/>
        </w:rPr>
        <w:t xml:space="preserve">very few households with no motorcycles </w:t>
      </w:r>
      <w:r w:rsidR="00082269" w:rsidRPr="00C047FF">
        <w:rPr>
          <w:szCs w:val="22"/>
        </w:rPr>
        <w:t>(</w:t>
      </w:r>
      <w:r w:rsidR="00404F55" w:rsidRPr="00C047FF">
        <w:rPr>
          <w:szCs w:val="22"/>
        </w:rPr>
        <w:t xml:space="preserve">Figure </w:t>
      </w:r>
      <w:r w:rsidR="00721446">
        <w:rPr>
          <w:szCs w:val="22"/>
        </w:rPr>
        <w:t>5</w:t>
      </w:r>
      <w:r w:rsidR="00082269" w:rsidRPr="00C047FF">
        <w:rPr>
          <w:szCs w:val="22"/>
        </w:rPr>
        <w:t xml:space="preserve">) </w:t>
      </w:r>
      <w:r w:rsidR="00361BD8" w:rsidRPr="00C047FF">
        <w:rPr>
          <w:szCs w:val="22"/>
        </w:rPr>
        <w:t xml:space="preserve">and </w:t>
      </w:r>
      <w:r w:rsidR="00A65928" w:rsidRPr="00C047FF">
        <w:rPr>
          <w:szCs w:val="22"/>
        </w:rPr>
        <w:t>the majority of households owning at least 2 motorcycles totalling 11,993 individual motorcycles identified</w:t>
      </w:r>
      <w:r w:rsidR="009C7FDB" w:rsidRPr="00C047FF">
        <w:rPr>
          <w:szCs w:val="22"/>
        </w:rPr>
        <w:t xml:space="preserve">. </w:t>
      </w:r>
      <w:r w:rsidR="00A65928" w:rsidRPr="00C047FF">
        <w:rPr>
          <w:szCs w:val="22"/>
        </w:rPr>
        <w:t xml:space="preserve">From this initial sample profiling it is observed that the ‘average’ survey respondent will </w:t>
      </w:r>
      <w:r w:rsidR="009C7FDB" w:rsidRPr="00C047FF">
        <w:rPr>
          <w:szCs w:val="22"/>
        </w:rPr>
        <w:t>have a</w:t>
      </w:r>
      <w:r w:rsidR="00A65928" w:rsidRPr="00C047FF">
        <w:rPr>
          <w:szCs w:val="22"/>
        </w:rPr>
        <w:t xml:space="preserve"> limited experience with car ownership but likely to have good knowledge of motorcycle ownership in the household.</w:t>
      </w:r>
    </w:p>
    <w:p w14:paraId="681CE04D" w14:textId="645DA7D2" w:rsidR="00A65928" w:rsidRDefault="00A65928">
      <w:pPr>
        <w:rPr>
          <w:sz w:val="23"/>
          <w:szCs w:val="23"/>
        </w:rPr>
      </w:pPr>
      <w:r w:rsidRPr="00C047FF">
        <w:rPr>
          <w:szCs w:val="22"/>
        </w:rPr>
        <w:t>On a weekly basis a larger number of routine than non-routine trip</w:t>
      </w:r>
      <w:r w:rsidR="005F734A">
        <w:rPr>
          <w:szCs w:val="22"/>
        </w:rPr>
        <w:t>s</w:t>
      </w:r>
      <w:r w:rsidRPr="00C047FF">
        <w:rPr>
          <w:szCs w:val="22"/>
        </w:rPr>
        <w:t xml:space="preserve"> are performed. Work and education based trips are similar number with 6.1 to 6.6 trips per week on average. Other routine trip types are </w:t>
      </w:r>
      <w:r w:rsidR="004B0A40" w:rsidRPr="00C047FF">
        <w:rPr>
          <w:noProof/>
          <w:szCs w:val="22"/>
        </w:rPr>
        <w:lastRenderedPageBreak/>
        <mc:AlternateContent>
          <mc:Choice Requires="wps">
            <w:drawing>
              <wp:anchor distT="107950" distB="144145" distL="114300" distR="180340" simplePos="0" relativeHeight="251669504" behindDoc="0" locked="0" layoutInCell="1" allowOverlap="1" wp14:anchorId="191435A8" wp14:editId="1B827C62">
                <wp:simplePos x="0" y="0"/>
                <wp:positionH relativeFrom="margin">
                  <wp:align>left</wp:align>
                </wp:positionH>
                <wp:positionV relativeFrom="margin">
                  <wp:align>top</wp:align>
                </wp:positionV>
                <wp:extent cx="3600000" cy="2754000"/>
                <wp:effectExtent l="0" t="0" r="635" b="82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0" cy="2754000"/>
                        </a:xfrm>
                        <a:prstGeom prst="rect">
                          <a:avLst/>
                        </a:prstGeom>
                        <a:solidFill>
                          <a:srgbClr val="FFFFFF"/>
                        </a:solidFill>
                        <a:ln w="9525">
                          <a:noFill/>
                          <a:miter lim="800000"/>
                          <a:headEnd/>
                          <a:tailEnd/>
                        </a:ln>
                      </wps:spPr>
                      <wps:txbx>
                        <w:txbxContent>
                          <w:p w14:paraId="6F1D4F47" w14:textId="61773755" w:rsidR="004B0A40" w:rsidRDefault="004B0A40" w:rsidP="004B0A40">
                            <w:pPr>
                              <w:pStyle w:val="Captionstyle"/>
                            </w:pPr>
                            <w:r>
                              <w:t>Figure 5</w:t>
                            </w:r>
                            <w:r w:rsidRPr="00082269">
                              <w:t>: Sample population household vehicle ownership profile</w:t>
                            </w:r>
                          </w:p>
                          <w:p w14:paraId="5277374D" w14:textId="77777777" w:rsidR="004B0A40" w:rsidRDefault="004B0A40" w:rsidP="004B0A40">
                            <w:r>
                              <w:rPr>
                                <w:noProof/>
                              </w:rPr>
                              <w:drawing>
                                <wp:inline distT="0" distB="0" distL="0" distR="0" wp14:anchorId="5DAA2656" wp14:editId="29FBA107">
                                  <wp:extent cx="3548475" cy="2197100"/>
                                  <wp:effectExtent l="19050" t="19050" r="1397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766" r="2110"/>
                                          <a:stretch/>
                                        </pic:blipFill>
                                        <pic:spPr bwMode="auto">
                                          <a:xfrm>
                                            <a:off x="0" y="0"/>
                                            <a:ext cx="3613051" cy="2237083"/>
                                          </a:xfrm>
                                          <a:prstGeom prst="rect">
                                            <a:avLst/>
                                          </a:prstGeom>
                                          <a:noFill/>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435A8" id="_x0000_s1028" type="#_x0000_t202" style="position:absolute;left:0;text-align:left;margin-left:0;margin-top:0;width:283.45pt;height:216.85pt;z-index:251669504;visibility:visible;mso-wrap-style:square;mso-width-percent:0;mso-height-percent:0;mso-wrap-distance-left:9pt;mso-wrap-distance-top:8.5pt;mso-wrap-distance-right:14.2pt;mso-wrap-distance-bottom:11.35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" stroked="f">
                <v:textbox inset="0,0,0,0">
                  <w:txbxContent>
                    <w:p w14:paraId="6F1D4F47" w14:textId="61773755" w:rsidR="004B0A40" w:rsidRDefault="004B0A40" w:rsidP="004B0A40">
                      <w:pPr>
                        <w:pStyle w:val="Captionstyle"/>
                      </w:pPr>
                      <w:r>
                        <w:t>Figure 5</w:t>
                      </w:r>
                      <w:r w:rsidRPr="00082269">
                        <w:t>: Sample population household vehicle ownership profile</w:t>
                      </w:r>
                    </w:p>
                    <w:p w14:paraId="5277374D" w14:textId="77777777" w:rsidR="004B0A40" w:rsidRDefault="004B0A40" w:rsidP="004B0A40">
                      <w:r>
                        <w:rPr>
                          <w:noProof/>
                        </w:rPr>
                        <w:drawing>
                          <wp:inline distT="0" distB="0" distL="0" distR="0" wp14:anchorId="5DAA2656" wp14:editId="29FBA107">
                            <wp:extent cx="3548475" cy="2197100"/>
                            <wp:effectExtent l="19050" t="19050" r="1397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1766" r="2110"/>
                                    <a:stretch/>
                                  </pic:blipFill>
                                  <pic:spPr bwMode="auto">
                                    <a:xfrm>
                                      <a:off x="0" y="0"/>
                                      <a:ext cx="3613051" cy="2237083"/>
                                    </a:xfrm>
                                    <a:prstGeom prst="rect">
                                      <a:avLst/>
                                    </a:prstGeom>
                                    <a:noFill/>
                                    <a:ln w="9525" cap="flat" cmpd="sng" algn="ctr">
                                      <a:solidFill>
                                        <a:sysClr val="window" lastClr="FFFFFF">
                                          <a:lumMod val="50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xbxContent>
                </v:textbox>
                <w10:wrap type="square" anchorx="margin" anchory="margin"/>
              </v:shape>
            </w:pict>
          </mc:Fallback>
        </mc:AlternateContent>
      </w:r>
      <w:r w:rsidRPr="00C047FF">
        <w:rPr>
          <w:szCs w:val="22"/>
        </w:rPr>
        <w:t>slightly lower at an average of 5.3 trips per week and have more deviation in the reported response.</w:t>
      </w:r>
      <w:r w:rsidR="00361BD8" w:rsidRPr="00C047FF">
        <w:rPr>
          <w:szCs w:val="22"/>
        </w:rPr>
        <w:t xml:space="preserve"> The a</w:t>
      </w:r>
      <w:r w:rsidRPr="00C047FF">
        <w:rPr>
          <w:szCs w:val="22"/>
        </w:rPr>
        <w:t>verage routine work trip</w:t>
      </w:r>
      <w:r w:rsidR="00361BD8" w:rsidRPr="00C047FF">
        <w:rPr>
          <w:szCs w:val="22"/>
        </w:rPr>
        <w:t xml:space="preserve"> travels a </w:t>
      </w:r>
      <w:r w:rsidRPr="00C047FF">
        <w:rPr>
          <w:szCs w:val="22"/>
        </w:rPr>
        <w:t>distance of 7.2 km taking 21 minutes</w:t>
      </w:r>
      <w:r w:rsidR="00361BD8" w:rsidRPr="00C047FF">
        <w:rPr>
          <w:szCs w:val="22"/>
        </w:rPr>
        <w:t xml:space="preserve">. Across all </w:t>
      </w:r>
      <w:r w:rsidRPr="00C047FF">
        <w:rPr>
          <w:szCs w:val="22"/>
        </w:rPr>
        <w:t>trip purposes</w:t>
      </w:r>
      <w:r w:rsidR="00361BD8" w:rsidRPr="00C047FF">
        <w:rPr>
          <w:szCs w:val="22"/>
        </w:rPr>
        <w:t>, the average travel speed is low at</w:t>
      </w:r>
      <w:r w:rsidRPr="00C047FF">
        <w:rPr>
          <w:szCs w:val="22"/>
        </w:rPr>
        <w:t xml:space="preserve"> 21 km/hr</w:t>
      </w:r>
      <w:r>
        <w:rPr>
          <w:sz w:val="23"/>
          <w:szCs w:val="23"/>
        </w:rPr>
        <w:t>.</w:t>
      </w:r>
    </w:p>
    <w:p w14:paraId="36D5CAEE" w14:textId="14B7BBE7" w:rsidR="00C60F67" w:rsidRPr="00C047FF" w:rsidRDefault="00A65928" w:rsidP="00F1135A">
      <w:pPr>
        <w:rPr>
          <w:szCs w:val="22"/>
        </w:rPr>
      </w:pPr>
      <w:r w:rsidRPr="00C047FF">
        <w:rPr>
          <w:szCs w:val="22"/>
        </w:rPr>
        <w:t>Discrete choice modelling is widely used in transportation modelling to represent the choice of one from a set of mutually exclusive alternatives. The multinomial logit model</w:t>
      </w:r>
      <w:r w:rsidR="00361BD8" w:rsidRPr="00C047FF">
        <w:rPr>
          <w:szCs w:val="22"/>
        </w:rPr>
        <w:t xml:space="preserve"> </w:t>
      </w:r>
      <w:r w:rsidR="003B1BE1" w:rsidRPr="00C047FF">
        <w:rPr>
          <w:szCs w:val="22"/>
        </w:rPr>
        <w:t>(</w:t>
      </w:r>
      <w:proofErr w:type="spellStart"/>
      <w:r w:rsidR="003B1BE1" w:rsidRPr="00C047FF">
        <w:rPr>
          <w:szCs w:val="22"/>
        </w:rPr>
        <w:t>Hensher</w:t>
      </w:r>
      <w:proofErr w:type="spellEnd"/>
      <w:r w:rsidR="003B1BE1" w:rsidRPr="00C047FF">
        <w:rPr>
          <w:szCs w:val="22"/>
        </w:rPr>
        <w:t xml:space="preserve"> et al, 2005, Louviere et al, 2000) </w:t>
      </w:r>
      <w:r w:rsidR="00361BD8" w:rsidRPr="00C047FF">
        <w:rPr>
          <w:szCs w:val="22"/>
        </w:rPr>
        <w:t xml:space="preserve">provides a useful mechanism for employing discrete choice modelling, requiring estimation of utility function coefficient parameters. </w:t>
      </w:r>
      <w:r w:rsidR="006B176A" w:rsidRPr="00C047FF">
        <w:rPr>
          <w:szCs w:val="22"/>
        </w:rPr>
        <w:t>E</w:t>
      </w:r>
      <w:r w:rsidRPr="00C047FF">
        <w:rPr>
          <w:szCs w:val="22"/>
        </w:rPr>
        <w:t xml:space="preserve">stimation </w:t>
      </w:r>
      <w:r w:rsidR="003B1BE1" w:rsidRPr="00C047FF">
        <w:rPr>
          <w:szCs w:val="22"/>
        </w:rPr>
        <w:t>process</w:t>
      </w:r>
      <w:r w:rsidR="006B176A" w:rsidRPr="00C047FF">
        <w:rPr>
          <w:szCs w:val="22"/>
        </w:rPr>
        <w:t>es are</w:t>
      </w:r>
      <w:r w:rsidR="003B1BE1" w:rsidRPr="00C047FF">
        <w:rPr>
          <w:szCs w:val="22"/>
        </w:rPr>
        <w:t xml:space="preserve"> assisted with the application of </w:t>
      </w:r>
      <w:r w:rsidRPr="00C047FF">
        <w:rPr>
          <w:szCs w:val="22"/>
        </w:rPr>
        <w:t>the</w:t>
      </w:r>
      <w:r w:rsidR="00361BD8" w:rsidRPr="00C047FF">
        <w:rPr>
          <w:szCs w:val="22"/>
        </w:rPr>
        <w:t xml:space="preserve"> NLOGIT software (Greene, 2007)</w:t>
      </w:r>
      <w:r w:rsidRPr="00C047FF">
        <w:rPr>
          <w:szCs w:val="22"/>
        </w:rPr>
        <w:t xml:space="preserve">, </w:t>
      </w:r>
      <w:r w:rsidR="006B176A" w:rsidRPr="00C047FF">
        <w:rPr>
          <w:szCs w:val="22"/>
        </w:rPr>
        <w:t xml:space="preserve">allowing for the </w:t>
      </w:r>
      <w:r w:rsidRPr="00C047FF">
        <w:rPr>
          <w:szCs w:val="22"/>
        </w:rPr>
        <w:t>appl</w:t>
      </w:r>
      <w:r w:rsidR="006B176A" w:rsidRPr="00C047FF">
        <w:rPr>
          <w:szCs w:val="22"/>
        </w:rPr>
        <w:t>ication of</w:t>
      </w:r>
      <w:r w:rsidRPr="00C047FF">
        <w:rPr>
          <w:szCs w:val="22"/>
        </w:rPr>
        <w:t xml:space="preserve"> the commonly used maximum likelihood estimation process </w:t>
      </w:r>
      <w:r w:rsidR="00361BD8" w:rsidRPr="00C047FF">
        <w:rPr>
          <w:szCs w:val="22"/>
        </w:rPr>
        <w:t>(Louviere et al, 2000)</w:t>
      </w:r>
      <w:r w:rsidRPr="00C047FF">
        <w:rPr>
          <w:szCs w:val="22"/>
        </w:rPr>
        <w:t>.</w:t>
      </w:r>
      <w:r w:rsidR="003B1BE1" w:rsidRPr="00C047FF">
        <w:rPr>
          <w:szCs w:val="22"/>
        </w:rPr>
        <w:t xml:space="preserve"> </w:t>
      </w:r>
      <w:r w:rsidR="00F1135A" w:rsidRPr="00C047FF">
        <w:rPr>
          <w:szCs w:val="22"/>
        </w:rPr>
        <w:t xml:space="preserve">Individual estimations were conducted for </w:t>
      </w:r>
      <w:r w:rsidR="003B1BE1" w:rsidRPr="00C047FF">
        <w:rPr>
          <w:szCs w:val="22"/>
        </w:rPr>
        <w:t>r</w:t>
      </w:r>
      <w:r w:rsidR="00F1135A" w:rsidRPr="00C047FF">
        <w:rPr>
          <w:szCs w:val="22"/>
        </w:rPr>
        <w:t>outine work</w:t>
      </w:r>
      <w:r w:rsidR="003B1BE1" w:rsidRPr="00C047FF">
        <w:rPr>
          <w:szCs w:val="22"/>
        </w:rPr>
        <w:t>,</w:t>
      </w:r>
      <w:r w:rsidR="00F1135A" w:rsidRPr="00C047FF">
        <w:rPr>
          <w:szCs w:val="22"/>
        </w:rPr>
        <w:t xml:space="preserve"> education </w:t>
      </w:r>
      <w:r w:rsidR="003B1BE1" w:rsidRPr="00C047FF">
        <w:rPr>
          <w:szCs w:val="22"/>
        </w:rPr>
        <w:t xml:space="preserve">and other </w:t>
      </w:r>
      <w:r w:rsidR="00F1135A" w:rsidRPr="00C047FF">
        <w:rPr>
          <w:szCs w:val="22"/>
        </w:rPr>
        <w:t>trips</w:t>
      </w:r>
      <w:r w:rsidR="003B1BE1" w:rsidRPr="00C047FF">
        <w:rPr>
          <w:szCs w:val="22"/>
        </w:rPr>
        <w:t xml:space="preserve"> as well as the c</w:t>
      </w:r>
      <w:r w:rsidR="00F1135A" w:rsidRPr="00C047FF">
        <w:rPr>
          <w:szCs w:val="22"/>
        </w:rPr>
        <w:t>ombined non-routine trips.</w:t>
      </w:r>
      <w:r w:rsidR="003B1BE1" w:rsidRPr="00C047FF">
        <w:rPr>
          <w:szCs w:val="22"/>
        </w:rPr>
        <w:t xml:space="preserve"> </w:t>
      </w:r>
    </w:p>
    <w:p w14:paraId="1FD14834" w14:textId="08282F94" w:rsidR="00613A9C" w:rsidRPr="00C047FF" w:rsidRDefault="00ED70E8" w:rsidP="00F1135A">
      <w:pPr>
        <w:rPr>
          <w:szCs w:val="22"/>
        </w:rPr>
      </w:pPr>
      <w:r w:rsidRPr="00C047FF">
        <w:rPr>
          <w:szCs w:val="22"/>
        </w:rPr>
        <w:t>Fo</w:t>
      </w:r>
      <w:r w:rsidR="003B1BE1" w:rsidRPr="00C047FF">
        <w:rPr>
          <w:szCs w:val="22"/>
        </w:rPr>
        <w:t xml:space="preserve">r the routine work trip purpose estimation, a </w:t>
      </w:r>
      <w:r w:rsidRPr="00C047FF">
        <w:rPr>
          <w:szCs w:val="22"/>
        </w:rPr>
        <w:t xml:space="preserve">log-likelihood result of -15,966 was achieved after </w:t>
      </w:r>
      <w:r w:rsidR="00916672" w:rsidRPr="00C047FF">
        <w:rPr>
          <w:szCs w:val="22"/>
        </w:rPr>
        <w:t>five</w:t>
      </w:r>
      <w:r w:rsidRPr="00C047FF">
        <w:rPr>
          <w:szCs w:val="22"/>
        </w:rPr>
        <w:t xml:space="preserve"> iterations</w:t>
      </w:r>
      <w:r w:rsidR="003B1BE1" w:rsidRPr="00C047FF">
        <w:rPr>
          <w:szCs w:val="22"/>
        </w:rPr>
        <w:t xml:space="preserve">. Table </w:t>
      </w:r>
      <w:r w:rsidR="002D29C7" w:rsidRPr="00C047FF">
        <w:rPr>
          <w:szCs w:val="22"/>
        </w:rPr>
        <w:t>2</w:t>
      </w:r>
      <w:r w:rsidR="003B1BE1" w:rsidRPr="00C047FF">
        <w:rPr>
          <w:szCs w:val="22"/>
        </w:rPr>
        <w:t xml:space="preserve"> provides a summary of the parameter estimates </w:t>
      </w:r>
      <w:r w:rsidR="002B2CC8">
        <w:rPr>
          <w:szCs w:val="22"/>
        </w:rPr>
        <w:t>for this trip purpose, along with non-routine trips. The table also reports on parameter estimate</w:t>
      </w:r>
      <w:r w:rsidR="003B1BE1" w:rsidRPr="00C047FF">
        <w:rPr>
          <w:szCs w:val="22"/>
        </w:rPr>
        <w:t xml:space="preserve"> significance</w:t>
      </w:r>
      <w:r w:rsidR="00E17A96" w:rsidRPr="00C047FF">
        <w:rPr>
          <w:szCs w:val="22"/>
        </w:rPr>
        <w:t>, a two tailed test of the hypothesis that the coefficient equals zero.</w:t>
      </w:r>
    </w:p>
    <w:p w14:paraId="42D6E7F3" w14:textId="62F87086" w:rsidR="00ED70E8" w:rsidRPr="00C047FF" w:rsidRDefault="00613A9C" w:rsidP="00F1135A">
      <w:pPr>
        <w:rPr>
          <w:szCs w:val="22"/>
        </w:rPr>
      </w:pPr>
      <w:r w:rsidRPr="00C047FF">
        <w:rPr>
          <w:szCs w:val="22"/>
        </w:rPr>
        <w:t>Estimation results reveal that all parameters present a negative sign, indicating that any increases in the time or cost attributes for any of the modes will reduce the attractiveness of that mode to the traveller. Alternative specific parameters for all modes have a high significance indicating that there is a reasonable contribution of unobserved effects for all modes. Travel time is especially relevant to the work trip as starting work time is an important component of the travel to work choices and all modes demonstrate the importance of travel time in the representation for choice. Other attributes that play an important role in the utility function include the public transport fare, fuel and parking cost for the car but less so for the motorcycle mode.</w:t>
      </w:r>
    </w:p>
    <w:p w14:paraId="19EB641C" w14:textId="42C546C7" w:rsidR="00A548D4" w:rsidRDefault="00AF40B1" w:rsidP="00A548D4">
      <w:pPr>
        <w:rPr>
          <w:szCs w:val="22"/>
        </w:rPr>
      </w:pPr>
      <w:r>
        <w:rPr>
          <w:szCs w:val="22"/>
        </w:rPr>
        <w:t>E</w:t>
      </w:r>
      <w:r w:rsidRPr="00AF40B1">
        <w:rPr>
          <w:szCs w:val="22"/>
        </w:rPr>
        <w:t>stimations for the routine and non-routine trip purposes was achieved with a low number of iterations for the maximum likelihood estimation convergence</w:t>
      </w:r>
      <w:r>
        <w:rPr>
          <w:szCs w:val="22"/>
        </w:rPr>
        <w:t xml:space="preserve">. </w:t>
      </w:r>
      <w:r w:rsidR="006B176A" w:rsidRPr="00C047FF">
        <w:rPr>
          <w:szCs w:val="22"/>
        </w:rPr>
        <w:t>In these results, a</w:t>
      </w:r>
      <w:r w:rsidR="008528E1" w:rsidRPr="00C047FF">
        <w:rPr>
          <w:szCs w:val="22"/>
        </w:rPr>
        <w:t>ll modes demonstrate the importance of travel time in</w:t>
      </w:r>
      <w:r w:rsidR="00082269" w:rsidRPr="00C047FF">
        <w:rPr>
          <w:szCs w:val="22"/>
        </w:rPr>
        <w:t xml:space="preserve"> the representation for choice, it being </w:t>
      </w:r>
      <w:r w:rsidR="00A548D4" w:rsidRPr="00C047FF">
        <w:rPr>
          <w:szCs w:val="22"/>
        </w:rPr>
        <w:t xml:space="preserve">most significant for the motorcycle, bus and motorcycle taxi modes whilst less significant for the rapid transit and car mode alternatives. </w:t>
      </w:r>
      <w:r w:rsidR="00082269" w:rsidRPr="00C047FF">
        <w:rPr>
          <w:szCs w:val="22"/>
        </w:rPr>
        <w:t xml:space="preserve">Other attributes that play an important role in the utility function </w:t>
      </w:r>
      <w:r w:rsidR="003C14EB" w:rsidRPr="00C047FF">
        <w:rPr>
          <w:szCs w:val="22"/>
        </w:rPr>
        <w:t xml:space="preserve">generally </w:t>
      </w:r>
      <w:r w:rsidR="00082269" w:rsidRPr="00C047FF">
        <w:rPr>
          <w:szCs w:val="22"/>
        </w:rPr>
        <w:t>include the public transport fare, fuel and parking cost for the car but less so for the motorcycle mode.</w:t>
      </w:r>
      <w:r w:rsidR="00A548D4" w:rsidRPr="00C047FF">
        <w:rPr>
          <w:szCs w:val="22"/>
        </w:rPr>
        <w:t xml:space="preserve"> In all cases, the ASC has high significance indicating the importance of unobserved effects or effects that have not been specifically defined in the survey.</w:t>
      </w:r>
    </w:p>
    <w:p w14:paraId="0FAB079D" w14:textId="14A0E8EB" w:rsidR="00AF40B1" w:rsidRPr="00AF40B1" w:rsidRDefault="00AF40B1" w:rsidP="00E73748">
      <w:pPr>
        <w:rPr>
          <w:szCs w:val="22"/>
        </w:rPr>
      </w:pPr>
      <w:r w:rsidRPr="0053604B">
        <w:t xml:space="preserve">The estimation of </w:t>
      </w:r>
      <w:proofErr w:type="spellStart"/>
      <w:r w:rsidRPr="0053604B">
        <w:t>elasticities</w:t>
      </w:r>
      <w:proofErr w:type="spellEnd"/>
      <w:r w:rsidRPr="0053604B">
        <w:t xml:space="preserve"> for all trip purposes and modes (Table 3) reveals that </w:t>
      </w:r>
      <w:proofErr w:type="spellStart"/>
      <w:r w:rsidRPr="0053604B">
        <w:t>respondants</w:t>
      </w:r>
      <w:proofErr w:type="spellEnd"/>
      <w:r w:rsidRPr="0053604B">
        <w:t xml:space="preserve"> are willing to pay for motorcycle use under a significant cost increases. This is emphasised by parking cost and indeed travel time inelasticity, especially for the work trip. Only substantial increases to fuel or parking pricing or travel time will result in substantial shifts in travel demand.</w:t>
      </w:r>
    </w:p>
    <w:p w14:paraId="52FF4566" w14:textId="77777777" w:rsidR="004B0A40" w:rsidRPr="006F5D61" w:rsidRDefault="004B0A40" w:rsidP="004B0A40">
      <w:pPr>
        <w:pStyle w:val="Captionstyle"/>
        <w:keepNext/>
      </w:pPr>
      <w:r w:rsidRPr="009F257B">
        <w:lastRenderedPageBreak/>
        <w:t xml:space="preserve">Table </w:t>
      </w:r>
      <w:r>
        <w:t>2</w:t>
      </w:r>
      <w:r w:rsidRPr="009F257B">
        <w:t xml:space="preserve">: </w:t>
      </w:r>
      <w:r>
        <w:t>Utility function parameter estimates for routine work and non-routine trips</w:t>
      </w:r>
    </w:p>
    <w:tbl>
      <w:tblPr>
        <w:tblW w:w="5000" w:type="pct"/>
        <w:tblLayout w:type="fixed"/>
        <w:tblCellMar>
          <w:top w:w="28" w:type="dxa"/>
          <w:left w:w="57" w:type="dxa"/>
          <w:bottom w:w="28" w:type="dxa"/>
          <w:right w:w="57" w:type="dxa"/>
        </w:tblCellMar>
        <w:tblLook w:val="04A0" w:firstRow="1" w:lastRow="0" w:firstColumn="1" w:lastColumn="0" w:noHBand="0" w:noVBand="1"/>
      </w:tblPr>
      <w:tblGrid>
        <w:gridCol w:w="1336"/>
        <w:gridCol w:w="2518"/>
        <w:gridCol w:w="1343"/>
        <w:gridCol w:w="1178"/>
        <w:gridCol w:w="1343"/>
        <w:gridCol w:w="1343"/>
      </w:tblGrid>
      <w:tr w:rsidR="004B0A40" w:rsidRPr="000A2328" w14:paraId="66D4B875" w14:textId="77777777" w:rsidTr="0053604B">
        <w:trPr>
          <w:cantSplit/>
        </w:trPr>
        <w:tc>
          <w:tcPr>
            <w:tcW w:w="1336" w:type="dxa"/>
            <w:vMerge w:val="restart"/>
            <w:tcBorders>
              <w:top w:val="single" w:sz="4" w:space="0" w:color="auto"/>
              <w:left w:val="single" w:sz="4" w:space="0" w:color="auto"/>
              <w:bottom w:val="single" w:sz="4" w:space="0" w:color="auto"/>
              <w:right w:val="single" w:sz="4" w:space="0" w:color="auto"/>
            </w:tcBorders>
          </w:tcPr>
          <w:p w14:paraId="26164A99" w14:textId="1071B40B" w:rsidR="004B0A40" w:rsidRPr="000A2328" w:rsidRDefault="004B0A40" w:rsidP="00B404A5">
            <w:pPr>
              <w:pStyle w:val="Normaltable"/>
              <w:keepNext/>
              <w:rPr>
                <w:b/>
                <w:szCs w:val="22"/>
              </w:rPr>
            </w:pPr>
            <w:r w:rsidRPr="000A2328">
              <w:rPr>
                <w:b/>
                <w:szCs w:val="22"/>
              </w:rPr>
              <w:t>Mode</w:t>
            </w:r>
          </w:p>
        </w:tc>
        <w:tc>
          <w:tcPr>
            <w:tcW w:w="2519" w:type="dxa"/>
            <w:vMerge w:val="restart"/>
            <w:tcBorders>
              <w:top w:val="single" w:sz="4" w:space="0" w:color="auto"/>
              <w:left w:val="single" w:sz="4" w:space="0" w:color="auto"/>
              <w:bottom w:val="single" w:sz="4" w:space="0" w:color="auto"/>
              <w:right w:val="single" w:sz="4" w:space="0" w:color="auto"/>
            </w:tcBorders>
          </w:tcPr>
          <w:p w14:paraId="4038A2AE" w14:textId="70CBA070" w:rsidR="004B0A40" w:rsidRPr="000A2328" w:rsidRDefault="004B0A40" w:rsidP="00B404A5">
            <w:pPr>
              <w:pStyle w:val="Normaltable"/>
              <w:keepNext/>
              <w:rPr>
                <w:b/>
                <w:bCs/>
                <w:szCs w:val="22"/>
              </w:rPr>
            </w:pPr>
            <w:r w:rsidRPr="000A2328">
              <w:rPr>
                <w:b/>
                <w:bCs/>
                <w:szCs w:val="22"/>
              </w:rPr>
              <w:t>Parameter</w:t>
            </w:r>
          </w:p>
        </w:tc>
        <w:tc>
          <w:tcPr>
            <w:tcW w:w="2523" w:type="dxa"/>
            <w:gridSpan w:val="2"/>
            <w:tcBorders>
              <w:top w:val="single" w:sz="4" w:space="0" w:color="auto"/>
              <w:left w:val="single" w:sz="4" w:space="0" w:color="auto"/>
              <w:bottom w:val="single" w:sz="4" w:space="0" w:color="auto"/>
              <w:right w:val="single" w:sz="4" w:space="0" w:color="auto"/>
            </w:tcBorders>
          </w:tcPr>
          <w:p w14:paraId="57C5B18B" w14:textId="77777777" w:rsidR="004B0A40" w:rsidRPr="000A2328" w:rsidRDefault="004B0A40" w:rsidP="00B404A5">
            <w:pPr>
              <w:pStyle w:val="Normaltable"/>
              <w:keepNext/>
              <w:jc w:val="center"/>
              <w:rPr>
                <w:b/>
                <w:bCs/>
                <w:szCs w:val="22"/>
              </w:rPr>
            </w:pPr>
            <w:r>
              <w:rPr>
                <w:b/>
                <w:bCs/>
                <w:szCs w:val="22"/>
              </w:rPr>
              <w:t>Routine Work</w:t>
            </w:r>
          </w:p>
        </w:tc>
        <w:tc>
          <w:tcPr>
            <w:tcW w:w="2688" w:type="dxa"/>
            <w:gridSpan w:val="2"/>
            <w:tcBorders>
              <w:top w:val="single" w:sz="4" w:space="0" w:color="auto"/>
              <w:left w:val="single" w:sz="4" w:space="0" w:color="auto"/>
              <w:bottom w:val="single" w:sz="4" w:space="0" w:color="auto"/>
              <w:right w:val="single" w:sz="4" w:space="0" w:color="auto"/>
            </w:tcBorders>
          </w:tcPr>
          <w:p w14:paraId="56391483" w14:textId="77777777" w:rsidR="004B0A40" w:rsidRDefault="004B0A40" w:rsidP="00B404A5">
            <w:pPr>
              <w:pStyle w:val="Normaltable"/>
              <w:keepNext/>
              <w:jc w:val="center"/>
              <w:rPr>
                <w:b/>
                <w:bCs/>
                <w:szCs w:val="22"/>
              </w:rPr>
            </w:pPr>
            <w:r>
              <w:rPr>
                <w:b/>
                <w:bCs/>
                <w:szCs w:val="22"/>
              </w:rPr>
              <w:t>Non-Routine All</w:t>
            </w:r>
          </w:p>
        </w:tc>
      </w:tr>
      <w:tr w:rsidR="004B0A40" w:rsidRPr="000A2328" w14:paraId="00C50196" w14:textId="77777777" w:rsidTr="0053604B">
        <w:trPr>
          <w:cantSplit/>
        </w:trPr>
        <w:tc>
          <w:tcPr>
            <w:tcW w:w="1336" w:type="dxa"/>
            <w:vMerge/>
            <w:tcBorders>
              <w:top w:val="single" w:sz="4" w:space="0" w:color="auto"/>
              <w:left w:val="single" w:sz="4" w:space="0" w:color="auto"/>
              <w:bottom w:val="single" w:sz="4" w:space="0" w:color="auto"/>
              <w:right w:val="single" w:sz="4" w:space="0" w:color="auto"/>
            </w:tcBorders>
            <w:hideMark/>
          </w:tcPr>
          <w:p w14:paraId="09B55CAA" w14:textId="4A574152" w:rsidR="004B0A40" w:rsidRPr="000A2328" w:rsidRDefault="004B0A40" w:rsidP="00B404A5">
            <w:pPr>
              <w:pStyle w:val="Normaltable"/>
              <w:keepNext/>
              <w:rPr>
                <w:b/>
                <w:szCs w:val="22"/>
              </w:rPr>
            </w:pPr>
          </w:p>
        </w:tc>
        <w:tc>
          <w:tcPr>
            <w:tcW w:w="2519" w:type="dxa"/>
            <w:vMerge/>
            <w:tcBorders>
              <w:top w:val="single" w:sz="4" w:space="0" w:color="auto"/>
              <w:left w:val="single" w:sz="4" w:space="0" w:color="auto"/>
              <w:bottom w:val="single" w:sz="4" w:space="0" w:color="auto"/>
              <w:right w:val="single" w:sz="4" w:space="0" w:color="auto"/>
            </w:tcBorders>
            <w:hideMark/>
          </w:tcPr>
          <w:p w14:paraId="0DB0986A" w14:textId="2B90E5C6" w:rsidR="004B0A40" w:rsidRPr="000A2328" w:rsidRDefault="004B0A40" w:rsidP="00B404A5">
            <w:pPr>
              <w:pStyle w:val="Normaltable"/>
              <w:keepNext/>
              <w:rPr>
                <w:b/>
                <w:bCs/>
                <w:szCs w:val="22"/>
              </w:rPr>
            </w:pPr>
          </w:p>
        </w:tc>
        <w:tc>
          <w:tcPr>
            <w:tcW w:w="1344" w:type="dxa"/>
            <w:tcBorders>
              <w:top w:val="single" w:sz="4" w:space="0" w:color="auto"/>
              <w:left w:val="single" w:sz="4" w:space="0" w:color="auto"/>
              <w:bottom w:val="single" w:sz="4" w:space="0" w:color="auto"/>
              <w:right w:val="single" w:sz="4" w:space="0" w:color="auto"/>
            </w:tcBorders>
            <w:hideMark/>
          </w:tcPr>
          <w:p w14:paraId="4AD3C5E4" w14:textId="77777777" w:rsidR="004B0A40" w:rsidRPr="000A2328" w:rsidRDefault="004B0A40" w:rsidP="00B404A5">
            <w:pPr>
              <w:pStyle w:val="Normaltable"/>
              <w:keepNext/>
              <w:jc w:val="center"/>
              <w:rPr>
                <w:b/>
                <w:bCs/>
                <w:szCs w:val="22"/>
              </w:rPr>
            </w:pPr>
            <w:r w:rsidRPr="000A2328">
              <w:rPr>
                <w:b/>
                <w:bCs/>
                <w:szCs w:val="22"/>
              </w:rPr>
              <w:t>Estimate</w:t>
            </w:r>
          </w:p>
        </w:tc>
        <w:tc>
          <w:tcPr>
            <w:tcW w:w="1179" w:type="dxa"/>
            <w:tcBorders>
              <w:top w:val="single" w:sz="4" w:space="0" w:color="auto"/>
              <w:left w:val="single" w:sz="4" w:space="0" w:color="auto"/>
              <w:bottom w:val="single" w:sz="4" w:space="0" w:color="auto"/>
              <w:right w:val="single" w:sz="4" w:space="0" w:color="auto"/>
            </w:tcBorders>
            <w:hideMark/>
          </w:tcPr>
          <w:p w14:paraId="395B9C30" w14:textId="77777777" w:rsidR="004B0A40" w:rsidRPr="006725B7" w:rsidRDefault="004B0A40" w:rsidP="00B404A5">
            <w:pPr>
              <w:pStyle w:val="Normaltable"/>
              <w:keepNext/>
              <w:jc w:val="center"/>
              <w:rPr>
                <w:b/>
                <w:bCs/>
                <w:i/>
                <w:szCs w:val="22"/>
              </w:rPr>
            </w:pPr>
            <w:r w:rsidRPr="006725B7">
              <w:rPr>
                <w:b/>
                <w:bCs/>
                <w:i/>
                <w:szCs w:val="22"/>
              </w:rPr>
              <w:t>Sig</w:t>
            </w:r>
            <w:r>
              <w:rPr>
                <w:b/>
                <w:bCs/>
                <w:i/>
                <w:szCs w:val="22"/>
              </w:rPr>
              <w:t>.</w:t>
            </w:r>
          </w:p>
        </w:tc>
        <w:tc>
          <w:tcPr>
            <w:tcW w:w="1344" w:type="dxa"/>
            <w:tcBorders>
              <w:top w:val="single" w:sz="4" w:space="0" w:color="auto"/>
              <w:bottom w:val="single" w:sz="4" w:space="0" w:color="auto"/>
              <w:right w:val="single" w:sz="4" w:space="0" w:color="auto"/>
            </w:tcBorders>
          </w:tcPr>
          <w:p w14:paraId="0A83A78C" w14:textId="77777777" w:rsidR="004B0A40" w:rsidRPr="000A2328" w:rsidRDefault="004B0A40" w:rsidP="00B404A5">
            <w:pPr>
              <w:pStyle w:val="Normaltable"/>
              <w:keepNext/>
              <w:jc w:val="center"/>
              <w:rPr>
                <w:b/>
                <w:bCs/>
                <w:szCs w:val="22"/>
              </w:rPr>
            </w:pPr>
            <w:r w:rsidRPr="000A2328">
              <w:rPr>
                <w:b/>
                <w:bCs/>
                <w:szCs w:val="22"/>
              </w:rPr>
              <w:t>Estimate</w:t>
            </w:r>
          </w:p>
        </w:tc>
        <w:tc>
          <w:tcPr>
            <w:tcW w:w="1344" w:type="dxa"/>
            <w:tcBorders>
              <w:top w:val="single" w:sz="4" w:space="0" w:color="auto"/>
              <w:bottom w:val="single" w:sz="4" w:space="0" w:color="auto"/>
              <w:right w:val="single" w:sz="4" w:space="0" w:color="auto"/>
            </w:tcBorders>
          </w:tcPr>
          <w:p w14:paraId="77BF4B9F" w14:textId="77777777" w:rsidR="004B0A40" w:rsidRPr="000A2328" w:rsidRDefault="004B0A40" w:rsidP="00B404A5">
            <w:pPr>
              <w:pStyle w:val="Normaltable"/>
              <w:keepNext/>
              <w:jc w:val="center"/>
              <w:rPr>
                <w:b/>
                <w:bCs/>
                <w:szCs w:val="22"/>
              </w:rPr>
            </w:pPr>
            <w:r w:rsidRPr="006725B7">
              <w:rPr>
                <w:b/>
                <w:bCs/>
                <w:i/>
                <w:szCs w:val="22"/>
              </w:rPr>
              <w:t>Sig</w:t>
            </w:r>
            <w:r>
              <w:rPr>
                <w:b/>
                <w:bCs/>
                <w:i/>
                <w:szCs w:val="22"/>
              </w:rPr>
              <w:t>.</w:t>
            </w:r>
          </w:p>
        </w:tc>
      </w:tr>
      <w:tr w:rsidR="004B0A40" w:rsidRPr="000A2328" w14:paraId="66FF03FF" w14:textId="77777777" w:rsidTr="004B0A40">
        <w:trPr>
          <w:cantSplit/>
        </w:trPr>
        <w:tc>
          <w:tcPr>
            <w:tcW w:w="1336" w:type="dxa"/>
            <w:vMerge w:val="restart"/>
            <w:tcBorders>
              <w:top w:val="single" w:sz="4" w:space="0" w:color="auto"/>
              <w:left w:val="single" w:sz="4" w:space="0" w:color="auto"/>
              <w:bottom w:val="single" w:sz="4" w:space="0" w:color="auto"/>
              <w:right w:val="single" w:sz="4" w:space="0" w:color="auto"/>
            </w:tcBorders>
            <w:vAlign w:val="center"/>
            <w:hideMark/>
          </w:tcPr>
          <w:p w14:paraId="20DA7D7C" w14:textId="77777777" w:rsidR="004B0A40" w:rsidRPr="000A2328" w:rsidRDefault="004B0A40" w:rsidP="00B404A5">
            <w:pPr>
              <w:pStyle w:val="Normaltable"/>
              <w:keepNext/>
              <w:rPr>
                <w:bCs/>
                <w:color w:val="000000"/>
                <w:szCs w:val="22"/>
              </w:rPr>
            </w:pPr>
            <w:r w:rsidRPr="000A2328">
              <w:rPr>
                <w:bCs/>
                <w:color w:val="000000"/>
                <w:szCs w:val="22"/>
              </w:rPr>
              <w:t>Motorcycle</w:t>
            </w:r>
          </w:p>
        </w:tc>
        <w:tc>
          <w:tcPr>
            <w:tcW w:w="2519" w:type="dxa"/>
            <w:tcBorders>
              <w:top w:val="single" w:sz="4" w:space="0" w:color="auto"/>
              <w:left w:val="single" w:sz="4" w:space="0" w:color="auto"/>
              <w:bottom w:val="single" w:sz="4" w:space="0" w:color="BFBFBF" w:themeColor="background1" w:themeShade="BF"/>
              <w:right w:val="single" w:sz="4" w:space="0" w:color="auto"/>
            </w:tcBorders>
            <w:noWrap/>
            <w:hideMark/>
          </w:tcPr>
          <w:p w14:paraId="790CB50B" w14:textId="77777777" w:rsidR="004B0A40" w:rsidRPr="000A2328" w:rsidRDefault="004B0A40" w:rsidP="00B404A5">
            <w:pPr>
              <w:pStyle w:val="Normaltable"/>
              <w:keepNext/>
              <w:rPr>
                <w:color w:val="000000"/>
                <w:szCs w:val="22"/>
              </w:rPr>
            </w:pPr>
            <w:r>
              <w:rPr>
                <w:color w:val="000000"/>
                <w:szCs w:val="22"/>
              </w:rPr>
              <w:t>ASC</w:t>
            </w:r>
          </w:p>
        </w:tc>
        <w:tc>
          <w:tcPr>
            <w:tcW w:w="1344" w:type="dxa"/>
            <w:tcBorders>
              <w:top w:val="single" w:sz="4" w:space="0" w:color="auto"/>
              <w:left w:val="single" w:sz="4" w:space="0" w:color="auto"/>
              <w:bottom w:val="single" w:sz="4" w:space="0" w:color="BFBFBF" w:themeColor="background1" w:themeShade="BF"/>
              <w:right w:val="single" w:sz="4" w:space="0" w:color="auto"/>
            </w:tcBorders>
            <w:noWrap/>
            <w:hideMark/>
          </w:tcPr>
          <w:p w14:paraId="778A58C6" w14:textId="77777777" w:rsidR="004B0A40" w:rsidRPr="000A2328" w:rsidRDefault="004B0A40" w:rsidP="00B404A5">
            <w:pPr>
              <w:pStyle w:val="Normaltable"/>
              <w:keepNext/>
              <w:jc w:val="center"/>
              <w:rPr>
                <w:iCs/>
                <w:color w:val="000000"/>
                <w:szCs w:val="22"/>
              </w:rPr>
            </w:pPr>
            <w:r w:rsidRPr="000A2328">
              <w:rPr>
                <w:iCs/>
                <w:color w:val="000000"/>
                <w:szCs w:val="22"/>
              </w:rPr>
              <w:t>1.4952</w:t>
            </w:r>
          </w:p>
        </w:tc>
        <w:tc>
          <w:tcPr>
            <w:tcW w:w="1179" w:type="dxa"/>
            <w:tcBorders>
              <w:top w:val="single" w:sz="4" w:space="0" w:color="auto"/>
              <w:left w:val="single" w:sz="4" w:space="0" w:color="auto"/>
              <w:bottom w:val="single" w:sz="4" w:space="0" w:color="BFBFBF" w:themeColor="background1" w:themeShade="BF"/>
              <w:right w:val="single" w:sz="4" w:space="0" w:color="auto"/>
            </w:tcBorders>
            <w:noWrap/>
            <w:hideMark/>
          </w:tcPr>
          <w:p w14:paraId="117C8A36" w14:textId="77777777" w:rsidR="004B0A40" w:rsidRPr="006F5D61" w:rsidRDefault="004B0A40" w:rsidP="00B404A5">
            <w:pPr>
              <w:pStyle w:val="Normaltable"/>
              <w:keepNext/>
              <w:jc w:val="center"/>
              <w:rPr>
                <w:i/>
                <w:iCs/>
                <w:szCs w:val="22"/>
              </w:rPr>
            </w:pPr>
            <w:r w:rsidRPr="006F5D61">
              <w:rPr>
                <w:i/>
                <w:iCs/>
                <w:szCs w:val="22"/>
              </w:rPr>
              <w:t>0.0000</w:t>
            </w:r>
          </w:p>
        </w:tc>
        <w:tc>
          <w:tcPr>
            <w:tcW w:w="1344" w:type="dxa"/>
            <w:tcBorders>
              <w:top w:val="single" w:sz="4" w:space="0" w:color="auto"/>
              <w:left w:val="single" w:sz="4" w:space="0" w:color="auto"/>
              <w:bottom w:val="single" w:sz="4" w:space="0" w:color="BFBFBF" w:themeColor="background1" w:themeShade="BF"/>
              <w:right w:val="single" w:sz="4" w:space="0" w:color="auto"/>
            </w:tcBorders>
            <w:vAlign w:val="bottom"/>
          </w:tcPr>
          <w:p w14:paraId="71CEEAD8" w14:textId="77777777" w:rsidR="004B0A40" w:rsidRPr="006725B7" w:rsidRDefault="004B0A40" w:rsidP="00B404A5">
            <w:pPr>
              <w:pStyle w:val="Normaltable"/>
              <w:keepNext/>
              <w:jc w:val="center"/>
              <w:rPr>
                <w:iCs/>
                <w:color w:val="000000"/>
                <w:szCs w:val="22"/>
              </w:rPr>
            </w:pPr>
            <w:r>
              <w:rPr>
                <w:iCs/>
                <w:color w:val="000000"/>
                <w:szCs w:val="22"/>
              </w:rPr>
              <w:t>1.8582</w:t>
            </w:r>
          </w:p>
        </w:tc>
        <w:tc>
          <w:tcPr>
            <w:tcW w:w="1344" w:type="dxa"/>
            <w:tcBorders>
              <w:top w:val="single" w:sz="4" w:space="0" w:color="auto"/>
              <w:left w:val="single" w:sz="4" w:space="0" w:color="auto"/>
              <w:bottom w:val="single" w:sz="4" w:space="0" w:color="BFBFBF" w:themeColor="background1" w:themeShade="BF"/>
              <w:right w:val="single" w:sz="4" w:space="0" w:color="auto"/>
            </w:tcBorders>
            <w:vAlign w:val="bottom"/>
          </w:tcPr>
          <w:p w14:paraId="2A144746" w14:textId="77777777" w:rsidR="004B0A40" w:rsidRPr="006F5D61" w:rsidRDefault="004B0A40" w:rsidP="00B404A5">
            <w:pPr>
              <w:pStyle w:val="Normaltable"/>
              <w:keepNext/>
              <w:jc w:val="center"/>
              <w:rPr>
                <w:i/>
                <w:iCs/>
                <w:szCs w:val="22"/>
              </w:rPr>
            </w:pPr>
            <w:r>
              <w:rPr>
                <w:i/>
                <w:iCs/>
                <w:szCs w:val="22"/>
              </w:rPr>
              <w:t>0.0000</w:t>
            </w:r>
          </w:p>
        </w:tc>
      </w:tr>
      <w:tr w:rsidR="004B0A40" w:rsidRPr="000A2328" w14:paraId="317ACD06"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604936FC" w14:textId="77777777" w:rsidR="004B0A40" w:rsidRPr="000A2328" w:rsidRDefault="004B0A40" w:rsidP="00B404A5">
            <w:pPr>
              <w:pStyle w:val="Normaltable"/>
              <w:keepNext/>
              <w:rPr>
                <w:bCs/>
                <w:color w:val="000000"/>
                <w:szCs w:val="22"/>
                <w:lang w:eastAsia="en-AU"/>
              </w:rPr>
            </w:pPr>
          </w:p>
        </w:tc>
        <w:tc>
          <w:tcPr>
            <w:tcW w:w="2519"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3CF4A38" w14:textId="77777777" w:rsidR="004B0A40" w:rsidRPr="000A2328" w:rsidRDefault="004B0A40" w:rsidP="00B404A5">
            <w:pPr>
              <w:pStyle w:val="Normaltable"/>
              <w:keepNext/>
              <w:rPr>
                <w:color w:val="000000"/>
                <w:szCs w:val="22"/>
              </w:rPr>
            </w:pPr>
            <w:r w:rsidRPr="000A2328">
              <w:rPr>
                <w:color w:val="000000"/>
                <w:szCs w:val="22"/>
              </w:rPr>
              <w:t>Fuel Cost</w:t>
            </w:r>
          </w:p>
        </w:tc>
        <w:tc>
          <w:tcPr>
            <w:tcW w:w="134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25F3D07" w14:textId="77777777" w:rsidR="004B0A40" w:rsidRPr="000A2328" w:rsidRDefault="004B0A40" w:rsidP="00B404A5">
            <w:pPr>
              <w:pStyle w:val="Normaltable"/>
              <w:keepNext/>
              <w:jc w:val="center"/>
              <w:rPr>
                <w:iCs/>
                <w:color w:val="000000"/>
                <w:szCs w:val="22"/>
              </w:rPr>
            </w:pPr>
            <w:r>
              <w:rPr>
                <w:iCs/>
                <w:color w:val="000000"/>
                <w:szCs w:val="22"/>
              </w:rPr>
              <w:t>-0.0001</w:t>
            </w:r>
          </w:p>
        </w:tc>
        <w:tc>
          <w:tcPr>
            <w:tcW w:w="1179"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4AB52AF5" w14:textId="77777777" w:rsidR="004B0A40" w:rsidRPr="006F5D61" w:rsidRDefault="004B0A40" w:rsidP="00B404A5">
            <w:pPr>
              <w:pStyle w:val="Normaltable"/>
              <w:keepNext/>
              <w:jc w:val="center"/>
              <w:rPr>
                <w:i/>
                <w:iCs/>
                <w:szCs w:val="22"/>
              </w:rPr>
            </w:pPr>
            <w:r w:rsidRPr="006F5D61">
              <w:rPr>
                <w:i/>
                <w:iCs/>
                <w:szCs w:val="22"/>
              </w:rPr>
              <w:t>0.7194</w:t>
            </w:r>
          </w:p>
        </w:tc>
        <w:tc>
          <w:tcPr>
            <w:tcW w:w="1344"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bottom"/>
          </w:tcPr>
          <w:p w14:paraId="233DC4C2" w14:textId="77777777" w:rsidR="004B0A40" w:rsidRPr="006725B7" w:rsidRDefault="004B0A40" w:rsidP="00B404A5">
            <w:pPr>
              <w:pStyle w:val="Normaltable"/>
              <w:keepNext/>
              <w:jc w:val="center"/>
              <w:rPr>
                <w:iCs/>
                <w:color w:val="000000"/>
                <w:szCs w:val="22"/>
              </w:rPr>
            </w:pPr>
            <w:r w:rsidRPr="006725B7">
              <w:rPr>
                <w:iCs/>
                <w:color w:val="000000"/>
                <w:szCs w:val="22"/>
              </w:rPr>
              <w:t>-0.000</w:t>
            </w:r>
            <w:r>
              <w:rPr>
                <w:iCs/>
                <w:color w:val="000000"/>
                <w:szCs w:val="22"/>
              </w:rPr>
              <w:t>4</w:t>
            </w:r>
          </w:p>
        </w:tc>
        <w:tc>
          <w:tcPr>
            <w:tcW w:w="1344"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bottom"/>
          </w:tcPr>
          <w:p w14:paraId="13B21275" w14:textId="77777777" w:rsidR="004B0A40" w:rsidRPr="006F5D61" w:rsidRDefault="004B0A40" w:rsidP="00B404A5">
            <w:pPr>
              <w:pStyle w:val="Normaltable"/>
              <w:keepNext/>
              <w:jc w:val="center"/>
              <w:rPr>
                <w:i/>
                <w:iCs/>
                <w:szCs w:val="22"/>
              </w:rPr>
            </w:pPr>
            <w:r w:rsidRPr="006725B7">
              <w:rPr>
                <w:i/>
                <w:iCs/>
                <w:szCs w:val="22"/>
              </w:rPr>
              <w:t>0.0004</w:t>
            </w:r>
          </w:p>
        </w:tc>
      </w:tr>
      <w:tr w:rsidR="004B0A40" w:rsidRPr="000A2328" w14:paraId="12F4FF2D"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4F1833B3" w14:textId="77777777" w:rsidR="004B0A40" w:rsidRPr="000A2328" w:rsidRDefault="004B0A40" w:rsidP="00B404A5">
            <w:pPr>
              <w:pStyle w:val="Normaltable"/>
              <w:keepNext/>
              <w:rPr>
                <w:bCs/>
                <w:color w:val="000000"/>
                <w:szCs w:val="22"/>
                <w:lang w:eastAsia="en-AU"/>
              </w:rPr>
            </w:pPr>
          </w:p>
        </w:tc>
        <w:tc>
          <w:tcPr>
            <w:tcW w:w="2519"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E842FAB" w14:textId="77777777" w:rsidR="004B0A40" w:rsidRPr="000A2328" w:rsidRDefault="004B0A40" w:rsidP="00B404A5">
            <w:pPr>
              <w:pStyle w:val="Normaltable"/>
              <w:keepNext/>
              <w:rPr>
                <w:color w:val="000000"/>
                <w:szCs w:val="22"/>
              </w:rPr>
            </w:pPr>
            <w:r w:rsidRPr="000A2328">
              <w:rPr>
                <w:color w:val="000000"/>
                <w:szCs w:val="22"/>
              </w:rPr>
              <w:t>Parking Cost</w:t>
            </w:r>
          </w:p>
        </w:tc>
        <w:tc>
          <w:tcPr>
            <w:tcW w:w="1344"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6025A490" w14:textId="77777777" w:rsidR="004B0A40" w:rsidRPr="000A2328" w:rsidRDefault="004B0A40" w:rsidP="00B404A5">
            <w:pPr>
              <w:pStyle w:val="Normaltable"/>
              <w:keepNext/>
              <w:jc w:val="center"/>
              <w:rPr>
                <w:iCs/>
                <w:color w:val="000000"/>
                <w:szCs w:val="22"/>
              </w:rPr>
            </w:pPr>
            <w:r w:rsidRPr="000A2328">
              <w:rPr>
                <w:iCs/>
                <w:color w:val="000000"/>
                <w:szCs w:val="22"/>
              </w:rPr>
              <w:t>-0.0053</w:t>
            </w:r>
          </w:p>
        </w:tc>
        <w:tc>
          <w:tcPr>
            <w:tcW w:w="1179"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1F270274" w14:textId="77777777" w:rsidR="004B0A40" w:rsidRPr="006F5D61" w:rsidRDefault="004B0A40" w:rsidP="00B404A5">
            <w:pPr>
              <w:pStyle w:val="Normaltable"/>
              <w:keepNext/>
              <w:jc w:val="center"/>
              <w:rPr>
                <w:i/>
                <w:iCs/>
                <w:szCs w:val="22"/>
              </w:rPr>
            </w:pPr>
            <w:r w:rsidRPr="006F5D61">
              <w:rPr>
                <w:i/>
                <w:iCs/>
                <w:szCs w:val="22"/>
              </w:rPr>
              <w:t>0.3347</w:t>
            </w:r>
          </w:p>
        </w:tc>
        <w:tc>
          <w:tcPr>
            <w:tcW w:w="1344"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bottom"/>
          </w:tcPr>
          <w:p w14:paraId="3695E353" w14:textId="77777777" w:rsidR="004B0A40" w:rsidRPr="006725B7" w:rsidRDefault="004B0A40" w:rsidP="00B404A5">
            <w:pPr>
              <w:pStyle w:val="Normaltable"/>
              <w:keepNext/>
              <w:jc w:val="center"/>
              <w:rPr>
                <w:iCs/>
                <w:color w:val="000000"/>
                <w:szCs w:val="22"/>
              </w:rPr>
            </w:pPr>
            <w:r>
              <w:rPr>
                <w:iCs/>
                <w:color w:val="000000"/>
                <w:szCs w:val="22"/>
              </w:rPr>
              <w:t>-0.0116</w:t>
            </w:r>
          </w:p>
        </w:tc>
        <w:tc>
          <w:tcPr>
            <w:tcW w:w="1344"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bottom"/>
          </w:tcPr>
          <w:p w14:paraId="2F3EB00F" w14:textId="77777777" w:rsidR="004B0A40" w:rsidRPr="006F5D61" w:rsidRDefault="004B0A40" w:rsidP="00B404A5">
            <w:pPr>
              <w:pStyle w:val="Normaltable"/>
              <w:keepNext/>
              <w:jc w:val="center"/>
              <w:rPr>
                <w:i/>
                <w:iCs/>
                <w:szCs w:val="22"/>
              </w:rPr>
            </w:pPr>
            <w:r w:rsidRPr="006725B7">
              <w:rPr>
                <w:i/>
                <w:iCs/>
                <w:szCs w:val="22"/>
              </w:rPr>
              <w:t>0.0114</w:t>
            </w:r>
          </w:p>
        </w:tc>
      </w:tr>
      <w:tr w:rsidR="004B0A40" w:rsidRPr="000A2328" w14:paraId="6FA675BA"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5BEE1F03" w14:textId="77777777" w:rsidR="004B0A40" w:rsidRPr="000A2328" w:rsidRDefault="004B0A40" w:rsidP="00B404A5">
            <w:pPr>
              <w:pStyle w:val="Normaltable"/>
              <w:keepNext/>
              <w:rPr>
                <w:bCs/>
                <w:color w:val="000000"/>
                <w:szCs w:val="22"/>
                <w:lang w:eastAsia="en-AU"/>
              </w:rPr>
            </w:pPr>
          </w:p>
        </w:tc>
        <w:tc>
          <w:tcPr>
            <w:tcW w:w="2519" w:type="dxa"/>
            <w:tcBorders>
              <w:top w:val="single" w:sz="4" w:space="0" w:color="BFBFBF" w:themeColor="background1" w:themeShade="BF"/>
              <w:left w:val="single" w:sz="4" w:space="0" w:color="auto"/>
              <w:bottom w:val="single" w:sz="4" w:space="0" w:color="auto"/>
              <w:right w:val="single" w:sz="4" w:space="0" w:color="auto"/>
            </w:tcBorders>
            <w:noWrap/>
            <w:hideMark/>
          </w:tcPr>
          <w:p w14:paraId="5928A2BC" w14:textId="77777777" w:rsidR="004B0A40" w:rsidRPr="000A2328" w:rsidRDefault="004B0A40" w:rsidP="00B404A5">
            <w:pPr>
              <w:pStyle w:val="Normaltable"/>
              <w:keepNext/>
              <w:rPr>
                <w:color w:val="000000"/>
                <w:szCs w:val="22"/>
              </w:rPr>
            </w:pPr>
            <w:r w:rsidRPr="000A2328">
              <w:rPr>
                <w:color w:val="000000"/>
                <w:szCs w:val="22"/>
              </w:rPr>
              <w:t>Travel Time</w:t>
            </w:r>
          </w:p>
        </w:tc>
        <w:tc>
          <w:tcPr>
            <w:tcW w:w="1344" w:type="dxa"/>
            <w:tcBorders>
              <w:top w:val="single" w:sz="4" w:space="0" w:color="BFBFBF" w:themeColor="background1" w:themeShade="BF"/>
              <w:left w:val="single" w:sz="4" w:space="0" w:color="auto"/>
              <w:bottom w:val="single" w:sz="4" w:space="0" w:color="000000" w:themeColor="text1"/>
              <w:right w:val="single" w:sz="4" w:space="0" w:color="auto"/>
            </w:tcBorders>
            <w:noWrap/>
            <w:hideMark/>
          </w:tcPr>
          <w:p w14:paraId="06F7EEAD" w14:textId="77777777" w:rsidR="004B0A40" w:rsidRPr="000A2328" w:rsidRDefault="004B0A40" w:rsidP="00B404A5">
            <w:pPr>
              <w:pStyle w:val="Normaltable"/>
              <w:keepNext/>
              <w:jc w:val="center"/>
              <w:rPr>
                <w:iCs/>
                <w:color w:val="000000"/>
                <w:szCs w:val="22"/>
              </w:rPr>
            </w:pPr>
            <w:r>
              <w:rPr>
                <w:iCs/>
                <w:color w:val="000000"/>
                <w:szCs w:val="22"/>
              </w:rPr>
              <w:t>-0.011</w:t>
            </w:r>
            <w:r w:rsidRPr="000A2328">
              <w:rPr>
                <w:iCs/>
                <w:color w:val="000000"/>
                <w:szCs w:val="22"/>
              </w:rPr>
              <w:t>5</w:t>
            </w:r>
          </w:p>
        </w:tc>
        <w:tc>
          <w:tcPr>
            <w:tcW w:w="1179" w:type="dxa"/>
            <w:tcBorders>
              <w:top w:val="single" w:sz="4" w:space="0" w:color="BFBFBF" w:themeColor="background1" w:themeShade="BF"/>
              <w:left w:val="single" w:sz="4" w:space="0" w:color="auto"/>
              <w:bottom w:val="single" w:sz="4" w:space="0" w:color="000000" w:themeColor="text1"/>
              <w:right w:val="single" w:sz="4" w:space="0" w:color="auto"/>
            </w:tcBorders>
            <w:noWrap/>
            <w:hideMark/>
          </w:tcPr>
          <w:p w14:paraId="708C174B" w14:textId="77777777" w:rsidR="004B0A40" w:rsidRPr="006F5D61" w:rsidRDefault="004B0A40" w:rsidP="00B404A5">
            <w:pPr>
              <w:pStyle w:val="Normaltable"/>
              <w:keepNext/>
              <w:jc w:val="center"/>
              <w:rPr>
                <w:i/>
                <w:iCs/>
                <w:szCs w:val="22"/>
              </w:rPr>
            </w:pPr>
            <w:r w:rsidRPr="006F5D61">
              <w:rPr>
                <w:i/>
                <w:iCs/>
                <w:szCs w:val="22"/>
              </w:rPr>
              <w:t>0.0000</w:t>
            </w:r>
          </w:p>
        </w:tc>
        <w:tc>
          <w:tcPr>
            <w:tcW w:w="1344" w:type="dxa"/>
            <w:tcBorders>
              <w:top w:val="single" w:sz="4" w:space="0" w:color="BFBFBF" w:themeColor="background1" w:themeShade="BF"/>
              <w:left w:val="single" w:sz="4" w:space="0" w:color="auto"/>
              <w:bottom w:val="single" w:sz="4" w:space="0" w:color="000000" w:themeColor="text1"/>
              <w:right w:val="single" w:sz="4" w:space="0" w:color="auto"/>
            </w:tcBorders>
            <w:vAlign w:val="bottom"/>
          </w:tcPr>
          <w:p w14:paraId="49669E25" w14:textId="77777777" w:rsidR="004B0A40" w:rsidRPr="006725B7" w:rsidRDefault="004B0A40" w:rsidP="00B404A5">
            <w:pPr>
              <w:pStyle w:val="Normaltable"/>
              <w:keepNext/>
              <w:jc w:val="center"/>
              <w:rPr>
                <w:iCs/>
                <w:color w:val="000000"/>
                <w:szCs w:val="22"/>
              </w:rPr>
            </w:pPr>
            <w:r>
              <w:rPr>
                <w:iCs/>
                <w:color w:val="000000"/>
                <w:szCs w:val="22"/>
              </w:rPr>
              <w:t>-0.0076</w:t>
            </w:r>
          </w:p>
        </w:tc>
        <w:tc>
          <w:tcPr>
            <w:tcW w:w="1344" w:type="dxa"/>
            <w:tcBorders>
              <w:top w:val="single" w:sz="4" w:space="0" w:color="BFBFBF" w:themeColor="background1" w:themeShade="BF"/>
              <w:left w:val="single" w:sz="4" w:space="0" w:color="auto"/>
              <w:bottom w:val="single" w:sz="4" w:space="0" w:color="000000" w:themeColor="text1"/>
              <w:right w:val="single" w:sz="4" w:space="0" w:color="auto"/>
            </w:tcBorders>
            <w:vAlign w:val="bottom"/>
          </w:tcPr>
          <w:p w14:paraId="00CDBBB3" w14:textId="77777777" w:rsidR="004B0A40" w:rsidRPr="006F5D61" w:rsidRDefault="004B0A40" w:rsidP="00B404A5">
            <w:pPr>
              <w:pStyle w:val="Normaltable"/>
              <w:keepNext/>
              <w:jc w:val="center"/>
              <w:rPr>
                <w:i/>
                <w:iCs/>
                <w:szCs w:val="22"/>
              </w:rPr>
            </w:pPr>
            <w:r w:rsidRPr="006725B7">
              <w:rPr>
                <w:i/>
                <w:iCs/>
                <w:szCs w:val="22"/>
              </w:rPr>
              <w:t>0.0000</w:t>
            </w:r>
          </w:p>
        </w:tc>
      </w:tr>
      <w:tr w:rsidR="004B0A40" w:rsidRPr="000A2328" w14:paraId="032D6585" w14:textId="77777777" w:rsidTr="004B0A40">
        <w:trPr>
          <w:cantSplit/>
        </w:trPr>
        <w:tc>
          <w:tcPr>
            <w:tcW w:w="1336" w:type="dxa"/>
            <w:vMerge w:val="restart"/>
            <w:tcBorders>
              <w:top w:val="single" w:sz="4" w:space="0" w:color="auto"/>
              <w:left w:val="single" w:sz="4" w:space="0" w:color="auto"/>
              <w:bottom w:val="single" w:sz="4" w:space="0" w:color="auto"/>
              <w:right w:val="single" w:sz="4" w:space="0" w:color="auto"/>
            </w:tcBorders>
            <w:vAlign w:val="center"/>
            <w:hideMark/>
          </w:tcPr>
          <w:p w14:paraId="5FFF4726" w14:textId="77777777" w:rsidR="004B0A40" w:rsidRPr="000A2328" w:rsidRDefault="004B0A40" w:rsidP="00B404A5">
            <w:pPr>
              <w:pStyle w:val="Normaltable"/>
              <w:keepNext/>
              <w:rPr>
                <w:bCs/>
                <w:color w:val="000000"/>
                <w:szCs w:val="22"/>
              </w:rPr>
            </w:pPr>
            <w:r w:rsidRPr="000A2328">
              <w:rPr>
                <w:bCs/>
                <w:color w:val="000000"/>
                <w:szCs w:val="22"/>
              </w:rPr>
              <w:t>Car</w:t>
            </w:r>
          </w:p>
        </w:tc>
        <w:tc>
          <w:tcPr>
            <w:tcW w:w="2519" w:type="dxa"/>
            <w:tcBorders>
              <w:top w:val="single" w:sz="4" w:space="0" w:color="auto"/>
              <w:left w:val="single" w:sz="4" w:space="0" w:color="auto"/>
              <w:bottom w:val="single" w:sz="4" w:space="0" w:color="BFBFBF" w:themeColor="background1" w:themeShade="BF"/>
              <w:right w:val="single" w:sz="4" w:space="0" w:color="000000" w:themeColor="text1"/>
            </w:tcBorders>
            <w:noWrap/>
            <w:hideMark/>
          </w:tcPr>
          <w:p w14:paraId="5F595571" w14:textId="77777777" w:rsidR="004B0A40" w:rsidRPr="000A2328" w:rsidRDefault="004B0A40" w:rsidP="00B404A5">
            <w:pPr>
              <w:pStyle w:val="Normaltable"/>
              <w:keepNext/>
              <w:rPr>
                <w:color w:val="000000"/>
                <w:szCs w:val="22"/>
              </w:rPr>
            </w:pPr>
            <w:r>
              <w:rPr>
                <w:color w:val="000000"/>
                <w:szCs w:val="22"/>
              </w:rPr>
              <w:t>ASC</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hideMark/>
          </w:tcPr>
          <w:p w14:paraId="012FCBB0" w14:textId="77777777" w:rsidR="004B0A40" w:rsidRPr="000A2328" w:rsidRDefault="004B0A40" w:rsidP="00B404A5">
            <w:pPr>
              <w:pStyle w:val="Normaltable"/>
              <w:keepNext/>
              <w:jc w:val="center"/>
              <w:rPr>
                <w:iCs/>
                <w:color w:val="000000"/>
                <w:szCs w:val="22"/>
              </w:rPr>
            </w:pPr>
            <w:r w:rsidRPr="000A2328">
              <w:rPr>
                <w:iCs/>
                <w:color w:val="000000"/>
                <w:szCs w:val="22"/>
              </w:rPr>
              <w:t>1.6141</w:t>
            </w:r>
          </w:p>
        </w:tc>
        <w:tc>
          <w:tcPr>
            <w:tcW w:w="117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hideMark/>
          </w:tcPr>
          <w:p w14:paraId="21A5C72D" w14:textId="77777777" w:rsidR="004B0A40" w:rsidRPr="006F5D61" w:rsidRDefault="004B0A40" w:rsidP="00B404A5">
            <w:pPr>
              <w:pStyle w:val="Normaltable"/>
              <w:keepNext/>
              <w:jc w:val="center"/>
              <w:rPr>
                <w:i/>
                <w:iCs/>
                <w:szCs w:val="22"/>
              </w:rPr>
            </w:pPr>
            <w:r w:rsidRPr="006F5D61">
              <w:rPr>
                <w:i/>
                <w:iCs/>
                <w:szCs w:val="22"/>
              </w:rPr>
              <w:t>0.0000</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bottom"/>
          </w:tcPr>
          <w:p w14:paraId="6FD6D194" w14:textId="77777777" w:rsidR="004B0A40" w:rsidRPr="006725B7" w:rsidRDefault="004B0A40" w:rsidP="00B404A5">
            <w:pPr>
              <w:pStyle w:val="Normaltable"/>
              <w:keepNext/>
              <w:jc w:val="center"/>
              <w:rPr>
                <w:iCs/>
                <w:color w:val="000000"/>
                <w:szCs w:val="22"/>
              </w:rPr>
            </w:pPr>
            <w:r>
              <w:rPr>
                <w:iCs/>
                <w:color w:val="000000"/>
                <w:szCs w:val="22"/>
              </w:rPr>
              <w:t>0.8380</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bottom"/>
          </w:tcPr>
          <w:p w14:paraId="1F330401" w14:textId="77777777" w:rsidR="004B0A40" w:rsidRPr="006F5D61" w:rsidRDefault="004B0A40" w:rsidP="00B404A5">
            <w:pPr>
              <w:pStyle w:val="Normaltable"/>
              <w:keepNext/>
              <w:jc w:val="center"/>
              <w:rPr>
                <w:i/>
                <w:iCs/>
                <w:szCs w:val="22"/>
              </w:rPr>
            </w:pPr>
            <w:r w:rsidRPr="006725B7">
              <w:rPr>
                <w:i/>
                <w:iCs/>
                <w:szCs w:val="22"/>
              </w:rPr>
              <w:t>0.0000</w:t>
            </w:r>
          </w:p>
        </w:tc>
      </w:tr>
      <w:tr w:rsidR="004B0A40" w:rsidRPr="000A2328" w14:paraId="0C6B82E6"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7F9C59E8" w14:textId="77777777" w:rsidR="004B0A40" w:rsidRPr="000A2328" w:rsidRDefault="004B0A40" w:rsidP="00B404A5">
            <w:pPr>
              <w:pStyle w:val="Normaltable"/>
              <w:keepNext/>
              <w:rPr>
                <w:bCs/>
                <w:color w:val="000000"/>
                <w:szCs w:val="22"/>
                <w:lang w:eastAsia="en-AU"/>
              </w:rPr>
            </w:pPr>
          </w:p>
        </w:tc>
        <w:tc>
          <w:tcPr>
            <w:tcW w:w="2519" w:type="dxa"/>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noWrap/>
            <w:hideMark/>
          </w:tcPr>
          <w:p w14:paraId="2C321B23" w14:textId="77777777" w:rsidR="004B0A40" w:rsidRPr="000A2328" w:rsidRDefault="004B0A40" w:rsidP="00B404A5">
            <w:pPr>
              <w:pStyle w:val="Normaltable"/>
              <w:keepNext/>
              <w:rPr>
                <w:color w:val="000000"/>
                <w:szCs w:val="22"/>
              </w:rPr>
            </w:pPr>
            <w:r w:rsidRPr="000A2328">
              <w:rPr>
                <w:color w:val="000000"/>
                <w:szCs w:val="22"/>
              </w:rPr>
              <w:t>Fuel Cost</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1947CFE1" w14:textId="77777777" w:rsidR="004B0A40" w:rsidRPr="000A2328" w:rsidRDefault="004B0A40" w:rsidP="00B404A5">
            <w:pPr>
              <w:pStyle w:val="Normaltable"/>
              <w:keepNext/>
              <w:jc w:val="center"/>
              <w:rPr>
                <w:iCs/>
                <w:color w:val="000000"/>
                <w:szCs w:val="22"/>
              </w:rPr>
            </w:pPr>
            <w:r w:rsidRPr="000A2328">
              <w:rPr>
                <w:iCs/>
                <w:color w:val="000000"/>
                <w:szCs w:val="22"/>
              </w:rPr>
              <w:t>-0.0002</w:t>
            </w:r>
          </w:p>
        </w:tc>
        <w:tc>
          <w:tcPr>
            <w:tcW w:w="117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72FEAD1F" w14:textId="77777777" w:rsidR="004B0A40" w:rsidRPr="006F5D61" w:rsidRDefault="004B0A40" w:rsidP="00B404A5">
            <w:pPr>
              <w:pStyle w:val="Normaltable"/>
              <w:keepNext/>
              <w:jc w:val="center"/>
              <w:rPr>
                <w:i/>
                <w:iCs/>
                <w:szCs w:val="22"/>
              </w:rPr>
            </w:pPr>
            <w:r w:rsidRPr="006F5D61">
              <w:rPr>
                <w:i/>
                <w:iCs/>
                <w:szCs w:val="22"/>
              </w:rPr>
              <w:t>0.0000</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2F447BEB" w14:textId="77777777" w:rsidR="004B0A40" w:rsidRPr="006725B7" w:rsidRDefault="004B0A40" w:rsidP="00B404A5">
            <w:pPr>
              <w:pStyle w:val="Normaltable"/>
              <w:keepNext/>
              <w:jc w:val="center"/>
              <w:rPr>
                <w:iCs/>
                <w:color w:val="000000"/>
                <w:szCs w:val="22"/>
              </w:rPr>
            </w:pPr>
            <w:r>
              <w:rPr>
                <w:iCs/>
                <w:color w:val="000000"/>
                <w:szCs w:val="22"/>
              </w:rPr>
              <w:t>-0.0001</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7152B15F" w14:textId="77777777" w:rsidR="004B0A40" w:rsidRPr="006F5D61" w:rsidRDefault="004B0A40" w:rsidP="00B404A5">
            <w:pPr>
              <w:pStyle w:val="Normaltable"/>
              <w:keepNext/>
              <w:jc w:val="center"/>
              <w:rPr>
                <w:i/>
                <w:iCs/>
                <w:szCs w:val="22"/>
              </w:rPr>
            </w:pPr>
            <w:r w:rsidRPr="006725B7">
              <w:rPr>
                <w:i/>
                <w:iCs/>
                <w:szCs w:val="22"/>
              </w:rPr>
              <w:t>0.0767</w:t>
            </w:r>
          </w:p>
        </w:tc>
      </w:tr>
      <w:tr w:rsidR="004B0A40" w:rsidRPr="000A2328" w14:paraId="0BE746A2"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13896EED" w14:textId="77777777" w:rsidR="004B0A40" w:rsidRPr="000A2328" w:rsidRDefault="004B0A40" w:rsidP="00B404A5">
            <w:pPr>
              <w:pStyle w:val="Normaltable"/>
              <w:keepNext/>
              <w:rPr>
                <w:bCs/>
                <w:color w:val="000000"/>
                <w:szCs w:val="22"/>
                <w:lang w:eastAsia="en-AU"/>
              </w:rPr>
            </w:pPr>
          </w:p>
        </w:tc>
        <w:tc>
          <w:tcPr>
            <w:tcW w:w="2519" w:type="dxa"/>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noWrap/>
            <w:hideMark/>
          </w:tcPr>
          <w:p w14:paraId="1A712482" w14:textId="77777777" w:rsidR="004B0A40" w:rsidRPr="000A2328" w:rsidRDefault="004B0A40" w:rsidP="00B404A5">
            <w:pPr>
              <w:pStyle w:val="Normaltable"/>
              <w:keepNext/>
              <w:rPr>
                <w:color w:val="000000"/>
                <w:szCs w:val="22"/>
              </w:rPr>
            </w:pPr>
            <w:r w:rsidRPr="000A2328">
              <w:rPr>
                <w:color w:val="000000"/>
                <w:szCs w:val="22"/>
              </w:rPr>
              <w:t>Parking Cost</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019261BA" w14:textId="77777777" w:rsidR="004B0A40" w:rsidRPr="000A2328" w:rsidRDefault="004B0A40" w:rsidP="00B404A5">
            <w:pPr>
              <w:pStyle w:val="Normaltable"/>
              <w:keepNext/>
              <w:jc w:val="center"/>
              <w:rPr>
                <w:iCs/>
                <w:color w:val="000000"/>
                <w:szCs w:val="22"/>
              </w:rPr>
            </w:pPr>
            <w:r>
              <w:rPr>
                <w:iCs/>
                <w:color w:val="000000"/>
                <w:szCs w:val="22"/>
              </w:rPr>
              <w:t>-0.0086</w:t>
            </w:r>
          </w:p>
        </w:tc>
        <w:tc>
          <w:tcPr>
            <w:tcW w:w="117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67BBCF85" w14:textId="77777777" w:rsidR="004B0A40" w:rsidRPr="006F5D61" w:rsidRDefault="004B0A40" w:rsidP="00B404A5">
            <w:pPr>
              <w:pStyle w:val="Normaltable"/>
              <w:keepNext/>
              <w:jc w:val="center"/>
              <w:rPr>
                <w:i/>
                <w:iCs/>
                <w:szCs w:val="22"/>
              </w:rPr>
            </w:pPr>
            <w:r w:rsidRPr="006F5D61">
              <w:rPr>
                <w:i/>
                <w:iCs/>
                <w:szCs w:val="22"/>
              </w:rPr>
              <w:t>0.0000</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2B150EF0" w14:textId="77777777" w:rsidR="004B0A40" w:rsidRPr="006725B7" w:rsidRDefault="004B0A40" w:rsidP="00B404A5">
            <w:pPr>
              <w:pStyle w:val="Normaltable"/>
              <w:keepNext/>
              <w:jc w:val="center"/>
              <w:rPr>
                <w:iCs/>
                <w:color w:val="000000"/>
                <w:szCs w:val="22"/>
              </w:rPr>
            </w:pPr>
            <w:r>
              <w:rPr>
                <w:iCs/>
                <w:color w:val="000000"/>
                <w:szCs w:val="22"/>
              </w:rPr>
              <w:t>-0.0048</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61EAE886" w14:textId="77777777" w:rsidR="004B0A40" w:rsidRPr="006F5D61" w:rsidRDefault="004B0A40" w:rsidP="00B404A5">
            <w:pPr>
              <w:pStyle w:val="Normaltable"/>
              <w:keepNext/>
              <w:jc w:val="center"/>
              <w:rPr>
                <w:i/>
                <w:iCs/>
                <w:szCs w:val="22"/>
              </w:rPr>
            </w:pPr>
            <w:r w:rsidRPr="006725B7">
              <w:rPr>
                <w:i/>
                <w:iCs/>
                <w:szCs w:val="22"/>
              </w:rPr>
              <w:t>0.0012</w:t>
            </w:r>
          </w:p>
        </w:tc>
      </w:tr>
      <w:tr w:rsidR="004B0A40" w:rsidRPr="000A2328" w14:paraId="4767CBA7"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428D622F" w14:textId="77777777" w:rsidR="004B0A40" w:rsidRPr="000A2328" w:rsidRDefault="004B0A40" w:rsidP="00B404A5">
            <w:pPr>
              <w:pStyle w:val="Normaltable"/>
              <w:keepNext/>
              <w:rPr>
                <w:bCs/>
                <w:color w:val="000000"/>
                <w:szCs w:val="22"/>
                <w:lang w:eastAsia="en-AU"/>
              </w:rPr>
            </w:pPr>
          </w:p>
        </w:tc>
        <w:tc>
          <w:tcPr>
            <w:tcW w:w="2519" w:type="dxa"/>
            <w:tcBorders>
              <w:top w:val="single" w:sz="4" w:space="0" w:color="BFBFBF" w:themeColor="background1" w:themeShade="BF"/>
              <w:left w:val="single" w:sz="4" w:space="0" w:color="auto"/>
              <w:bottom w:val="single" w:sz="4" w:space="0" w:color="auto"/>
              <w:right w:val="single" w:sz="4" w:space="0" w:color="000000" w:themeColor="text1"/>
            </w:tcBorders>
            <w:noWrap/>
            <w:hideMark/>
          </w:tcPr>
          <w:p w14:paraId="44FC7ACB" w14:textId="77777777" w:rsidR="004B0A40" w:rsidRPr="000A2328" w:rsidRDefault="004B0A40" w:rsidP="00B404A5">
            <w:pPr>
              <w:pStyle w:val="Normaltable"/>
              <w:keepNext/>
              <w:rPr>
                <w:color w:val="000000"/>
                <w:szCs w:val="22"/>
              </w:rPr>
            </w:pPr>
            <w:r w:rsidRPr="000A2328">
              <w:rPr>
                <w:color w:val="000000"/>
                <w:szCs w:val="22"/>
              </w:rPr>
              <w:t>Travel Time</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hideMark/>
          </w:tcPr>
          <w:p w14:paraId="24FF8FCB" w14:textId="77777777" w:rsidR="004B0A40" w:rsidRPr="000A2328" w:rsidRDefault="004B0A40" w:rsidP="00B404A5">
            <w:pPr>
              <w:pStyle w:val="Normaltable"/>
              <w:keepNext/>
              <w:jc w:val="center"/>
              <w:rPr>
                <w:iCs/>
                <w:color w:val="000000"/>
                <w:szCs w:val="22"/>
              </w:rPr>
            </w:pPr>
            <w:r>
              <w:rPr>
                <w:iCs/>
                <w:color w:val="000000"/>
                <w:szCs w:val="22"/>
              </w:rPr>
              <w:t>-0.0068</w:t>
            </w:r>
          </w:p>
        </w:tc>
        <w:tc>
          <w:tcPr>
            <w:tcW w:w="1179"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hideMark/>
          </w:tcPr>
          <w:p w14:paraId="7B3C349C" w14:textId="77777777" w:rsidR="004B0A40" w:rsidRPr="006F5D61" w:rsidRDefault="004B0A40" w:rsidP="00B404A5">
            <w:pPr>
              <w:pStyle w:val="Normaltable"/>
              <w:keepNext/>
              <w:jc w:val="center"/>
              <w:rPr>
                <w:i/>
                <w:iCs/>
                <w:szCs w:val="22"/>
              </w:rPr>
            </w:pPr>
            <w:r w:rsidRPr="006F5D61">
              <w:rPr>
                <w:i/>
                <w:iCs/>
                <w:szCs w:val="22"/>
              </w:rPr>
              <w:t>0.0000</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bottom"/>
          </w:tcPr>
          <w:p w14:paraId="4FBB4B05" w14:textId="77777777" w:rsidR="004B0A40" w:rsidRPr="006725B7" w:rsidRDefault="004B0A40" w:rsidP="00B404A5">
            <w:pPr>
              <w:pStyle w:val="Normaltable"/>
              <w:keepNext/>
              <w:jc w:val="center"/>
              <w:rPr>
                <w:iCs/>
                <w:color w:val="000000"/>
                <w:szCs w:val="22"/>
              </w:rPr>
            </w:pPr>
            <w:r>
              <w:rPr>
                <w:iCs/>
                <w:color w:val="000000"/>
                <w:szCs w:val="22"/>
              </w:rPr>
              <w:t>-0.0007</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bottom"/>
          </w:tcPr>
          <w:p w14:paraId="5F39CC84" w14:textId="77777777" w:rsidR="004B0A40" w:rsidRPr="006F5D61" w:rsidRDefault="004B0A40" w:rsidP="00B404A5">
            <w:pPr>
              <w:pStyle w:val="Normaltable"/>
              <w:keepNext/>
              <w:jc w:val="center"/>
              <w:rPr>
                <w:i/>
                <w:iCs/>
                <w:szCs w:val="22"/>
              </w:rPr>
            </w:pPr>
            <w:r w:rsidRPr="006725B7">
              <w:rPr>
                <w:i/>
                <w:iCs/>
                <w:szCs w:val="22"/>
              </w:rPr>
              <w:t>0.4887</w:t>
            </w:r>
          </w:p>
        </w:tc>
      </w:tr>
      <w:tr w:rsidR="004B0A40" w:rsidRPr="000A2328" w14:paraId="6D1A0991" w14:textId="77777777" w:rsidTr="004B0A40">
        <w:trPr>
          <w:cantSplit/>
        </w:trPr>
        <w:tc>
          <w:tcPr>
            <w:tcW w:w="1336" w:type="dxa"/>
            <w:vMerge w:val="restart"/>
            <w:tcBorders>
              <w:top w:val="single" w:sz="4" w:space="0" w:color="auto"/>
              <w:left w:val="single" w:sz="4" w:space="0" w:color="auto"/>
              <w:bottom w:val="single" w:sz="4" w:space="0" w:color="auto"/>
              <w:right w:val="single" w:sz="4" w:space="0" w:color="auto"/>
            </w:tcBorders>
            <w:vAlign w:val="center"/>
            <w:hideMark/>
          </w:tcPr>
          <w:p w14:paraId="73FCAE7D" w14:textId="77777777" w:rsidR="004B0A40" w:rsidRPr="000A2328" w:rsidRDefault="004B0A40" w:rsidP="00B404A5">
            <w:pPr>
              <w:pStyle w:val="Normaltable"/>
              <w:keepNext/>
              <w:rPr>
                <w:bCs/>
                <w:color w:val="000000"/>
                <w:szCs w:val="22"/>
              </w:rPr>
            </w:pPr>
            <w:r w:rsidRPr="000A2328">
              <w:rPr>
                <w:bCs/>
                <w:color w:val="000000"/>
                <w:szCs w:val="22"/>
              </w:rPr>
              <w:t>Motorcycle Taxi</w:t>
            </w:r>
          </w:p>
        </w:tc>
        <w:tc>
          <w:tcPr>
            <w:tcW w:w="2519" w:type="dxa"/>
            <w:tcBorders>
              <w:top w:val="single" w:sz="4" w:space="0" w:color="auto"/>
              <w:left w:val="single" w:sz="4" w:space="0" w:color="auto"/>
              <w:bottom w:val="single" w:sz="4" w:space="0" w:color="BFBFBF" w:themeColor="background1" w:themeShade="BF"/>
              <w:right w:val="single" w:sz="4" w:space="0" w:color="000000" w:themeColor="text1"/>
            </w:tcBorders>
            <w:noWrap/>
            <w:hideMark/>
          </w:tcPr>
          <w:p w14:paraId="3FBEF609" w14:textId="77777777" w:rsidR="004B0A40" w:rsidRPr="000A2328" w:rsidRDefault="004B0A40" w:rsidP="00B404A5">
            <w:pPr>
              <w:pStyle w:val="Normaltable"/>
              <w:keepNext/>
              <w:rPr>
                <w:color w:val="000000"/>
                <w:szCs w:val="22"/>
              </w:rPr>
            </w:pPr>
            <w:r>
              <w:rPr>
                <w:color w:val="000000"/>
                <w:szCs w:val="22"/>
              </w:rPr>
              <w:t>ASC</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hideMark/>
          </w:tcPr>
          <w:p w14:paraId="1BF17E3B" w14:textId="77777777" w:rsidR="004B0A40" w:rsidRPr="000A2328" w:rsidRDefault="004B0A40" w:rsidP="00B404A5">
            <w:pPr>
              <w:pStyle w:val="Normaltable"/>
              <w:keepNext/>
              <w:jc w:val="center"/>
              <w:rPr>
                <w:iCs/>
                <w:color w:val="000000"/>
                <w:szCs w:val="22"/>
              </w:rPr>
            </w:pPr>
            <w:r>
              <w:rPr>
                <w:iCs/>
                <w:color w:val="000000"/>
                <w:szCs w:val="22"/>
              </w:rPr>
              <w:t>0.0000</w:t>
            </w:r>
          </w:p>
        </w:tc>
        <w:tc>
          <w:tcPr>
            <w:tcW w:w="117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hideMark/>
          </w:tcPr>
          <w:p w14:paraId="1A845170" w14:textId="77777777" w:rsidR="004B0A40" w:rsidRPr="006F5D61" w:rsidRDefault="004B0A40" w:rsidP="00B404A5">
            <w:pPr>
              <w:pStyle w:val="Normaltable"/>
              <w:keepNext/>
              <w:jc w:val="center"/>
              <w:rPr>
                <w:i/>
                <w:iCs/>
                <w:szCs w:val="22"/>
              </w:rPr>
            </w:pPr>
            <w:r w:rsidRPr="006F5D61">
              <w:rPr>
                <w:i/>
                <w:iCs/>
                <w:szCs w:val="22"/>
              </w:rPr>
              <w:t>-</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bottom"/>
          </w:tcPr>
          <w:p w14:paraId="6134EB69" w14:textId="77777777" w:rsidR="004B0A40" w:rsidRPr="006725B7" w:rsidRDefault="004B0A40" w:rsidP="00B404A5">
            <w:pPr>
              <w:pStyle w:val="Normaltable"/>
              <w:keepNext/>
              <w:jc w:val="center"/>
              <w:rPr>
                <w:iCs/>
                <w:color w:val="000000"/>
                <w:szCs w:val="22"/>
              </w:rPr>
            </w:pPr>
            <w:r>
              <w:rPr>
                <w:iCs/>
                <w:color w:val="000000"/>
                <w:szCs w:val="22"/>
              </w:rPr>
              <w:t>0.0000</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bottom"/>
          </w:tcPr>
          <w:p w14:paraId="4637FE0D" w14:textId="77777777" w:rsidR="004B0A40" w:rsidRPr="006F5D61" w:rsidRDefault="004B0A40" w:rsidP="00B404A5">
            <w:pPr>
              <w:pStyle w:val="Normaltable"/>
              <w:keepNext/>
              <w:jc w:val="center"/>
              <w:rPr>
                <w:i/>
                <w:iCs/>
                <w:szCs w:val="22"/>
              </w:rPr>
            </w:pPr>
            <w:r>
              <w:rPr>
                <w:i/>
                <w:iCs/>
                <w:szCs w:val="22"/>
              </w:rPr>
              <w:t>-</w:t>
            </w:r>
          </w:p>
        </w:tc>
      </w:tr>
      <w:tr w:rsidR="004B0A40" w:rsidRPr="000A2328" w14:paraId="12419A43"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1AEDFF82" w14:textId="77777777" w:rsidR="004B0A40" w:rsidRPr="000A2328" w:rsidRDefault="004B0A40" w:rsidP="00B404A5">
            <w:pPr>
              <w:pStyle w:val="Normaltable"/>
              <w:keepNext/>
              <w:rPr>
                <w:bCs/>
                <w:color w:val="000000"/>
                <w:szCs w:val="22"/>
                <w:lang w:eastAsia="en-AU"/>
              </w:rPr>
            </w:pPr>
          </w:p>
        </w:tc>
        <w:tc>
          <w:tcPr>
            <w:tcW w:w="2519" w:type="dxa"/>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noWrap/>
            <w:hideMark/>
          </w:tcPr>
          <w:p w14:paraId="376FCD35" w14:textId="77777777" w:rsidR="004B0A40" w:rsidRPr="000A2328" w:rsidRDefault="004B0A40" w:rsidP="00B404A5">
            <w:pPr>
              <w:pStyle w:val="Normaltable"/>
              <w:keepNext/>
              <w:rPr>
                <w:color w:val="000000"/>
                <w:szCs w:val="22"/>
              </w:rPr>
            </w:pPr>
            <w:r w:rsidRPr="000A2328">
              <w:rPr>
                <w:color w:val="000000"/>
                <w:szCs w:val="22"/>
              </w:rPr>
              <w:t>Motorcycle Taxi Fare</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57203FD2" w14:textId="77777777" w:rsidR="004B0A40" w:rsidRPr="000A2328" w:rsidRDefault="004B0A40" w:rsidP="00B404A5">
            <w:pPr>
              <w:pStyle w:val="Normaltable"/>
              <w:keepNext/>
              <w:jc w:val="center"/>
              <w:rPr>
                <w:iCs/>
                <w:color w:val="000000"/>
                <w:szCs w:val="22"/>
              </w:rPr>
            </w:pPr>
            <w:r>
              <w:rPr>
                <w:iCs/>
                <w:color w:val="000000"/>
                <w:szCs w:val="22"/>
              </w:rPr>
              <w:t>-0.0066</w:t>
            </w:r>
          </w:p>
        </w:tc>
        <w:tc>
          <w:tcPr>
            <w:tcW w:w="117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0B3D45C4" w14:textId="77777777" w:rsidR="004B0A40" w:rsidRPr="006F5D61" w:rsidRDefault="004B0A40" w:rsidP="00B404A5">
            <w:pPr>
              <w:pStyle w:val="Normaltable"/>
              <w:keepNext/>
              <w:jc w:val="center"/>
              <w:rPr>
                <w:i/>
                <w:iCs/>
                <w:szCs w:val="22"/>
              </w:rPr>
            </w:pPr>
            <w:r w:rsidRPr="006F5D61">
              <w:rPr>
                <w:i/>
                <w:iCs/>
                <w:szCs w:val="22"/>
              </w:rPr>
              <w:t>0.0004</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48AA27F3" w14:textId="77777777" w:rsidR="004B0A40" w:rsidRPr="006725B7" w:rsidRDefault="004B0A40" w:rsidP="00B404A5">
            <w:pPr>
              <w:pStyle w:val="Normaltable"/>
              <w:keepNext/>
              <w:jc w:val="center"/>
              <w:rPr>
                <w:iCs/>
                <w:color w:val="000000"/>
                <w:szCs w:val="22"/>
              </w:rPr>
            </w:pPr>
            <w:r w:rsidRPr="006725B7">
              <w:rPr>
                <w:iCs/>
                <w:color w:val="000000"/>
                <w:szCs w:val="22"/>
              </w:rPr>
              <w:t>-0.0099</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42CB7483" w14:textId="77777777" w:rsidR="004B0A40" w:rsidRPr="006F5D61" w:rsidRDefault="004B0A40" w:rsidP="00B404A5">
            <w:pPr>
              <w:pStyle w:val="Normaltable"/>
              <w:keepNext/>
              <w:jc w:val="center"/>
              <w:rPr>
                <w:i/>
                <w:iCs/>
                <w:szCs w:val="22"/>
              </w:rPr>
            </w:pPr>
            <w:r w:rsidRPr="006725B7">
              <w:rPr>
                <w:i/>
                <w:iCs/>
                <w:szCs w:val="22"/>
              </w:rPr>
              <w:t>0.0000</w:t>
            </w:r>
          </w:p>
        </w:tc>
      </w:tr>
      <w:tr w:rsidR="004B0A40" w:rsidRPr="000A2328" w14:paraId="3697E7F0"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79C7B98E" w14:textId="77777777" w:rsidR="004B0A40" w:rsidRPr="000A2328" w:rsidRDefault="004B0A40" w:rsidP="00B404A5">
            <w:pPr>
              <w:pStyle w:val="Normaltable"/>
              <w:keepNext/>
              <w:rPr>
                <w:bCs/>
                <w:color w:val="000000"/>
                <w:szCs w:val="22"/>
                <w:lang w:eastAsia="en-AU"/>
              </w:rPr>
            </w:pPr>
          </w:p>
        </w:tc>
        <w:tc>
          <w:tcPr>
            <w:tcW w:w="2519" w:type="dxa"/>
            <w:tcBorders>
              <w:top w:val="single" w:sz="4" w:space="0" w:color="BFBFBF" w:themeColor="background1" w:themeShade="BF"/>
              <w:left w:val="single" w:sz="4" w:space="0" w:color="auto"/>
              <w:bottom w:val="single" w:sz="4" w:space="0" w:color="auto"/>
              <w:right w:val="single" w:sz="4" w:space="0" w:color="000000" w:themeColor="text1"/>
            </w:tcBorders>
            <w:noWrap/>
            <w:hideMark/>
          </w:tcPr>
          <w:p w14:paraId="7E2665C8" w14:textId="77777777" w:rsidR="004B0A40" w:rsidRPr="000A2328" w:rsidRDefault="004B0A40" w:rsidP="00B404A5">
            <w:pPr>
              <w:pStyle w:val="Normaltable"/>
              <w:keepNext/>
              <w:rPr>
                <w:color w:val="000000"/>
                <w:szCs w:val="22"/>
              </w:rPr>
            </w:pPr>
            <w:r w:rsidRPr="000A2328">
              <w:rPr>
                <w:color w:val="000000"/>
                <w:szCs w:val="22"/>
              </w:rPr>
              <w:t>Travel Time</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hideMark/>
          </w:tcPr>
          <w:p w14:paraId="221BAAC3" w14:textId="77777777" w:rsidR="004B0A40" w:rsidRPr="000A2328" w:rsidRDefault="004B0A40" w:rsidP="00B404A5">
            <w:pPr>
              <w:pStyle w:val="Normaltable"/>
              <w:keepNext/>
              <w:jc w:val="center"/>
              <w:rPr>
                <w:iCs/>
                <w:color w:val="000000"/>
                <w:szCs w:val="22"/>
              </w:rPr>
            </w:pPr>
            <w:r w:rsidRPr="000A2328">
              <w:rPr>
                <w:iCs/>
                <w:color w:val="000000"/>
                <w:szCs w:val="22"/>
              </w:rPr>
              <w:t>-0.004</w:t>
            </w:r>
            <w:r>
              <w:rPr>
                <w:iCs/>
                <w:color w:val="000000"/>
                <w:szCs w:val="22"/>
              </w:rPr>
              <w:t>7</w:t>
            </w:r>
          </w:p>
        </w:tc>
        <w:tc>
          <w:tcPr>
            <w:tcW w:w="1179"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hideMark/>
          </w:tcPr>
          <w:p w14:paraId="1A72AD1F" w14:textId="77777777" w:rsidR="004B0A40" w:rsidRPr="006F5D61" w:rsidRDefault="004B0A40" w:rsidP="00B404A5">
            <w:pPr>
              <w:pStyle w:val="Normaltable"/>
              <w:keepNext/>
              <w:jc w:val="center"/>
              <w:rPr>
                <w:i/>
                <w:iCs/>
                <w:szCs w:val="22"/>
              </w:rPr>
            </w:pPr>
            <w:r w:rsidRPr="006F5D61">
              <w:rPr>
                <w:i/>
                <w:iCs/>
                <w:szCs w:val="22"/>
              </w:rPr>
              <w:t>0.0008</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bottom"/>
          </w:tcPr>
          <w:p w14:paraId="3C682D2B" w14:textId="77777777" w:rsidR="004B0A40" w:rsidRPr="006725B7" w:rsidRDefault="004B0A40" w:rsidP="00B404A5">
            <w:pPr>
              <w:pStyle w:val="Normaltable"/>
              <w:keepNext/>
              <w:jc w:val="center"/>
              <w:rPr>
                <w:iCs/>
                <w:color w:val="000000"/>
                <w:szCs w:val="22"/>
              </w:rPr>
            </w:pPr>
            <w:r>
              <w:rPr>
                <w:iCs/>
                <w:color w:val="000000"/>
                <w:szCs w:val="22"/>
              </w:rPr>
              <w:t>-0.0019</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bottom"/>
          </w:tcPr>
          <w:p w14:paraId="0399993A" w14:textId="77777777" w:rsidR="004B0A40" w:rsidRPr="006F5D61" w:rsidRDefault="004B0A40" w:rsidP="00B404A5">
            <w:pPr>
              <w:pStyle w:val="Normaltable"/>
              <w:keepNext/>
              <w:jc w:val="center"/>
              <w:rPr>
                <w:i/>
                <w:iCs/>
                <w:szCs w:val="22"/>
              </w:rPr>
            </w:pPr>
            <w:r w:rsidRPr="006725B7">
              <w:rPr>
                <w:i/>
                <w:iCs/>
                <w:szCs w:val="22"/>
              </w:rPr>
              <w:t>0.0462</w:t>
            </w:r>
          </w:p>
        </w:tc>
      </w:tr>
      <w:tr w:rsidR="004B0A40" w:rsidRPr="000A2328" w14:paraId="1247CBB4" w14:textId="77777777" w:rsidTr="004B0A40">
        <w:trPr>
          <w:cantSplit/>
        </w:trPr>
        <w:tc>
          <w:tcPr>
            <w:tcW w:w="1336" w:type="dxa"/>
            <w:vMerge w:val="restart"/>
            <w:tcBorders>
              <w:top w:val="single" w:sz="4" w:space="0" w:color="auto"/>
              <w:left w:val="single" w:sz="4" w:space="0" w:color="auto"/>
              <w:bottom w:val="single" w:sz="4" w:space="0" w:color="auto"/>
              <w:right w:val="single" w:sz="4" w:space="0" w:color="auto"/>
            </w:tcBorders>
            <w:vAlign w:val="center"/>
            <w:hideMark/>
          </w:tcPr>
          <w:p w14:paraId="7CA9BFEB" w14:textId="77777777" w:rsidR="004B0A40" w:rsidRPr="000A2328" w:rsidRDefault="004B0A40" w:rsidP="00B404A5">
            <w:pPr>
              <w:pStyle w:val="Normaltable"/>
              <w:keepNext/>
              <w:rPr>
                <w:bCs/>
                <w:color w:val="000000"/>
                <w:szCs w:val="22"/>
              </w:rPr>
            </w:pPr>
            <w:r w:rsidRPr="000A2328">
              <w:rPr>
                <w:bCs/>
                <w:color w:val="000000"/>
                <w:szCs w:val="22"/>
              </w:rPr>
              <w:t>Bus</w:t>
            </w:r>
          </w:p>
        </w:tc>
        <w:tc>
          <w:tcPr>
            <w:tcW w:w="2519" w:type="dxa"/>
            <w:tcBorders>
              <w:top w:val="single" w:sz="4" w:space="0" w:color="auto"/>
              <w:left w:val="single" w:sz="4" w:space="0" w:color="auto"/>
              <w:bottom w:val="single" w:sz="4" w:space="0" w:color="BFBFBF" w:themeColor="background1" w:themeShade="BF"/>
              <w:right w:val="single" w:sz="4" w:space="0" w:color="000000" w:themeColor="text1"/>
            </w:tcBorders>
            <w:noWrap/>
            <w:hideMark/>
          </w:tcPr>
          <w:p w14:paraId="1734A37E" w14:textId="77777777" w:rsidR="004B0A40" w:rsidRPr="000A2328" w:rsidRDefault="004B0A40" w:rsidP="00B404A5">
            <w:pPr>
              <w:pStyle w:val="Normaltable"/>
              <w:keepNext/>
              <w:rPr>
                <w:color w:val="000000"/>
                <w:szCs w:val="22"/>
              </w:rPr>
            </w:pPr>
            <w:r>
              <w:rPr>
                <w:color w:val="000000"/>
                <w:szCs w:val="22"/>
              </w:rPr>
              <w:t>ASC</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hideMark/>
          </w:tcPr>
          <w:p w14:paraId="5970DBD5" w14:textId="77777777" w:rsidR="004B0A40" w:rsidRPr="000A2328" w:rsidRDefault="004B0A40" w:rsidP="00B404A5">
            <w:pPr>
              <w:pStyle w:val="Normaltable"/>
              <w:keepNext/>
              <w:jc w:val="center"/>
              <w:rPr>
                <w:iCs/>
                <w:color w:val="000000"/>
                <w:szCs w:val="22"/>
              </w:rPr>
            </w:pPr>
            <w:r>
              <w:rPr>
                <w:iCs/>
                <w:color w:val="000000"/>
                <w:szCs w:val="22"/>
              </w:rPr>
              <w:t>0.6513</w:t>
            </w:r>
          </w:p>
        </w:tc>
        <w:tc>
          <w:tcPr>
            <w:tcW w:w="117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hideMark/>
          </w:tcPr>
          <w:p w14:paraId="59AE6A05" w14:textId="77777777" w:rsidR="004B0A40" w:rsidRPr="006F5D61" w:rsidRDefault="004B0A40" w:rsidP="00B404A5">
            <w:pPr>
              <w:pStyle w:val="Normaltable"/>
              <w:keepNext/>
              <w:jc w:val="center"/>
              <w:rPr>
                <w:i/>
                <w:iCs/>
                <w:szCs w:val="22"/>
              </w:rPr>
            </w:pPr>
            <w:r w:rsidRPr="006F5D61">
              <w:rPr>
                <w:i/>
                <w:iCs/>
                <w:szCs w:val="22"/>
              </w:rPr>
              <w:t>0.0000</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bottom"/>
          </w:tcPr>
          <w:p w14:paraId="13263463" w14:textId="77777777" w:rsidR="004B0A40" w:rsidRPr="006725B7" w:rsidRDefault="004B0A40" w:rsidP="00B404A5">
            <w:pPr>
              <w:pStyle w:val="Normaltable"/>
              <w:keepNext/>
              <w:jc w:val="center"/>
              <w:rPr>
                <w:iCs/>
                <w:color w:val="000000"/>
                <w:szCs w:val="22"/>
              </w:rPr>
            </w:pPr>
            <w:r>
              <w:rPr>
                <w:iCs/>
                <w:color w:val="000000"/>
                <w:szCs w:val="22"/>
              </w:rPr>
              <w:t>0.6896</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bottom"/>
          </w:tcPr>
          <w:p w14:paraId="3BB46307" w14:textId="77777777" w:rsidR="004B0A40" w:rsidRPr="006F5D61" w:rsidRDefault="004B0A40" w:rsidP="00B404A5">
            <w:pPr>
              <w:pStyle w:val="Normaltable"/>
              <w:keepNext/>
              <w:jc w:val="center"/>
              <w:rPr>
                <w:i/>
                <w:iCs/>
                <w:szCs w:val="22"/>
              </w:rPr>
            </w:pPr>
            <w:r w:rsidRPr="006725B7">
              <w:rPr>
                <w:i/>
                <w:iCs/>
                <w:szCs w:val="22"/>
              </w:rPr>
              <w:t>0.0000</w:t>
            </w:r>
          </w:p>
        </w:tc>
      </w:tr>
      <w:tr w:rsidR="004B0A40" w:rsidRPr="000A2328" w14:paraId="37B32A98"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675E68CB" w14:textId="77777777" w:rsidR="004B0A40" w:rsidRPr="000A2328" w:rsidRDefault="004B0A40" w:rsidP="00B404A5">
            <w:pPr>
              <w:pStyle w:val="Normaltable"/>
              <w:keepNext/>
              <w:rPr>
                <w:bCs/>
                <w:color w:val="000000"/>
                <w:szCs w:val="22"/>
                <w:lang w:eastAsia="en-AU"/>
              </w:rPr>
            </w:pPr>
          </w:p>
        </w:tc>
        <w:tc>
          <w:tcPr>
            <w:tcW w:w="2519" w:type="dxa"/>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noWrap/>
            <w:hideMark/>
          </w:tcPr>
          <w:p w14:paraId="2BE71AA0" w14:textId="77777777" w:rsidR="004B0A40" w:rsidRPr="000A2328" w:rsidRDefault="004B0A40" w:rsidP="00B404A5">
            <w:pPr>
              <w:pStyle w:val="Normaltable"/>
              <w:keepNext/>
              <w:rPr>
                <w:color w:val="000000"/>
                <w:szCs w:val="22"/>
              </w:rPr>
            </w:pPr>
            <w:r w:rsidRPr="000A2328">
              <w:rPr>
                <w:color w:val="000000"/>
                <w:szCs w:val="22"/>
              </w:rPr>
              <w:t>Public Transport Fare</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5BF52EA9" w14:textId="77777777" w:rsidR="004B0A40" w:rsidRPr="000A2328" w:rsidRDefault="004B0A40" w:rsidP="00B404A5">
            <w:pPr>
              <w:pStyle w:val="Normaltable"/>
              <w:keepNext/>
              <w:jc w:val="center"/>
              <w:rPr>
                <w:iCs/>
                <w:color w:val="000000"/>
                <w:szCs w:val="22"/>
              </w:rPr>
            </w:pPr>
            <w:r w:rsidRPr="000A2328">
              <w:rPr>
                <w:iCs/>
                <w:color w:val="000000"/>
                <w:szCs w:val="22"/>
              </w:rPr>
              <w:t>-0.0145</w:t>
            </w:r>
          </w:p>
        </w:tc>
        <w:tc>
          <w:tcPr>
            <w:tcW w:w="117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680BEE9F" w14:textId="77777777" w:rsidR="004B0A40" w:rsidRPr="006F5D61" w:rsidRDefault="004B0A40" w:rsidP="00B404A5">
            <w:pPr>
              <w:pStyle w:val="Normaltable"/>
              <w:keepNext/>
              <w:jc w:val="center"/>
              <w:rPr>
                <w:i/>
                <w:iCs/>
                <w:szCs w:val="22"/>
              </w:rPr>
            </w:pPr>
            <w:r w:rsidRPr="006F5D61">
              <w:rPr>
                <w:i/>
                <w:iCs/>
                <w:szCs w:val="22"/>
              </w:rPr>
              <w:t>0.0000</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2CCE32D0" w14:textId="77777777" w:rsidR="004B0A40" w:rsidRPr="006725B7" w:rsidRDefault="004B0A40" w:rsidP="00B404A5">
            <w:pPr>
              <w:pStyle w:val="Normaltable"/>
              <w:keepNext/>
              <w:jc w:val="center"/>
              <w:rPr>
                <w:iCs/>
                <w:color w:val="000000"/>
                <w:szCs w:val="22"/>
              </w:rPr>
            </w:pPr>
            <w:r w:rsidRPr="006725B7">
              <w:rPr>
                <w:iCs/>
                <w:color w:val="000000"/>
                <w:szCs w:val="22"/>
              </w:rPr>
              <w:t>-0.0149</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7D80225C" w14:textId="77777777" w:rsidR="004B0A40" w:rsidRPr="006F5D61" w:rsidRDefault="004B0A40" w:rsidP="00B404A5">
            <w:pPr>
              <w:pStyle w:val="Normaltable"/>
              <w:keepNext/>
              <w:jc w:val="center"/>
              <w:rPr>
                <w:i/>
                <w:iCs/>
                <w:szCs w:val="22"/>
              </w:rPr>
            </w:pPr>
            <w:r w:rsidRPr="006725B7">
              <w:rPr>
                <w:i/>
                <w:iCs/>
                <w:szCs w:val="22"/>
              </w:rPr>
              <w:t>0.0000</w:t>
            </w:r>
          </w:p>
        </w:tc>
      </w:tr>
      <w:tr w:rsidR="004B0A40" w:rsidRPr="000A2328" w14:paraId="5220CE0C"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6F75D6C4" w14:textId="77777777" w:rsidR="004B0A40" w:rsidRPr="000A2328" w:rsidRDefault="004B0A40" w:rsidP="00B404A5">
            <w:pPr>
              <w:pStyle w:val="Normaltable"/>
              <w:keepNext/>
              <w:rPr>
                <w:bCs/>
                <w:color w:val="000000"/>
                <w:szCs w:val="22"/>
                <w:lang w:eastAsia="en-AU"/>
              </w:rPr>
            </w:pPr>
          </w:p>
        </w:tc>
        <w:tc>
          <w:tcPr>
            <w:tcW w:w="2519" w:type="dxa"/>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noWrap/>
            <w:hideMark/>
          </w:tcPr>
          <w:p w14:paraId="16BD1D55" w14:textId="77777777" w:rsidR="004B0A40" w:rsidRPr="000A2328" w:rsidRDefault="004B0A40" w:rsidP="00B404A5">
            <w:pPr>
              <w:pStyle w:val="Normaltable"/>
              <w:keepNext/>
              <w:rPr>
                <w:color w:val="000000"/>
                <w:szCs w:val="22"/>
              </w:rPr>
            </w:pPr>
            <w:r w:rsidRPr="000A2328">
              <w:rPr>
                <w:color w:val="000000"/>
                <w:szCs w:val="22"/>
              </w:rPr>
              <w:t>Walk Time</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701B10BB" w14:textId="77777777" w:rsidR="004B0A40" w:rsidRPr="000A2328" w:rsidRDefault="004B0A40" w:rsidP="00B404A5">
            <w:pPr>
              <w:pStyle w:val="Normaltable"/>
              <w:keepNext/>
              <w:jc w:val="center"/>
              <w:rPr>
                <w:iCs/>
                <w:color w:val="000000"/>
                <w:szCs w:val="22"/>
              </w:rPr>
            </w:pPr>
            <w:r w:rsidRPr="000A2328">
              <w:rPr>
                <w:iCs/>
                <w:color w:val="000000"/>
                <w:szCs w:val="22"/>
              </w:rPr>
              <w:t>-0.0101</w:t>
            </w:r>
          </w:p>
        </w:tc>
        <w:tc>
          <w:tcPr>
            <w:tcW w:w="117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595DC161" w14:textId="77777777" w:rsidR="004B0A40" w:rsidRPr="006F5D61" w:rsidRDefault="004B0A40" w:rsidP="00B404A5">
            <w:pPr>
              <w:pStyle w:val="Normaltable"/>
              <w:keepNext/>
              <w:jc w:val="center"/>
              <w:rPr>
                <w:i/>
                <w:iCs/>
                <w:szCs w:val="22"/>
              </w:rPr>
            </w:pPr>
            <w:r w:rsidRPr="006F5D61">
              <w:rPr>
                <w:i/>
                <w:iCs/>
                <w:szCs w:val="22"/>
              </w:rPr>
              <w:t>0.0750</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7CD0925B" w14:textId="77777777" w:rsidR="004B0A40" w:rsidRPr="006725B7" w:rsidRDefault="004B0A40" w:rsidP="00B404A5">
            <w:pPr>
              <w:pStyle w:val="Normaltable"/>
              <w:keepNext/>
              <w:jc w:val="center"/>
              <w:rPr>
                <w:iCs/>
                <w:color w:val="000000"/>
                <w:szCs w:val="22"/>
              </w:rPr>
            </w:pPr>
            <w:r>
              <w:rPr>
                <w:iCs/>
                <w:color w:val="000000"/>
                <w:szCs w:val="22"/>
              </w:rPr>
              <w:t>-0.0131</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688BB161" w14:textId="77777777" w:rsidR="004B0A40" w:rsidRPr="006F5D61" w:rsidRDefault="004B0A40" w:rsidP="00B404A5">
            <w:pPr>
              <w:pStyle w:val="Normaltable"/>
              <w:keepNext/>
              <w:jc w:val="center"/>
              <w:rPr>
                <w:i/>
                <w:iCs/>
                <w:szCs w:val="22"/>
              </w:rPr>
            </w:pPr>
            <w:r w:rsidRPr="006725B7">
              <w:rPr>
                <w:i/>
                <w:iCs/>
                <w:szCs w:val="22"/>
              </w:rPr>
              <w:t>0.0119</w:t>
            </w:r>
          </w:p>
        </w:tc>
      </w:tr>
      <w:tr w:rsidR="004B0A40" w:rsidRPr="000A2328" w14:paraId="3372FC4A"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vAlign w:val="center"/>
            <w:hideMark/>
          </w:tcPr>
          <w:p w14:paraId="4F8D8D35" w14:textId="77777777" w:rsidR="004B0A40" w:rsidRPr="000A2328" w:rsidRDefault="004B0A40" w:rsidP="00B404A5">
            <w:pPr>
              <w:pStyle w:val="Normaltable"/>
              <w:keepNext/>
              <w:rPr>
                <w:bCs/>
                <w:color w:val="000000"/>
                <w:szCs w:val="22"/>
                <w:lang w:eastAsia="en-AU"/>
              </w:rPr>
            </w:pPr>
          </w:p>
        </w:tc>
        <w:tc>
          <w:tcPr>
            <w:tcW w:w="2519" w:type="dxa"/>
            <w:tcBorders>
              <w:top w:val="single" w:sz="4" w:space="0" w:color="BFBFBF" w:themeColor="background1" w:themeShade="BF"/>
              <w:left w:val="single" w:sz="4" w:space="0" w:color="auto"/>
              <w:bottom w:val="single" w:sz="4" w:space="0" w:color="auto"/>
              <w:right w:val="single" w:sz="4" w:space="0" w:color="000000" w:themeColor="text1"/>
            </w:tcBorders>
            <w:noWrap/>
            <w:hideMark/>
          </w:tcPr>
          <w:p w14:paraId="046F04D9" w14:textId="77777777" w:rsidR="004B0A40" w:rsidRPr="000A2328" w:rsidRDefault="004B0A40" w:rsidP="00B404A5">
            <w:pPr>
              <w:pStyle w:val="Normaltable"/>
              <w:keepNext/>
              <w:rPr>
                <w:color w:val="000000"/>
                <w:szCs w:val="22"/>
              </w:rPr>
            </w:pPr>
            <w:r w:rsidRPr="000A2328">
              <w:rPr>
                <w:color w:val="000000"/>
                <w:szCs w:val="22"/>
              </w:rPr>
              <w:t>Travel Time</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hideMark/>
          </w:tcPr>
          <w:p w14:paraId="32199D19" w14:textId="77777777" w:rsidR="004B0A40" w:rsidRPr="000A2328" w:rsidRDefault="004B0A40" w:rsidP="00B404A5">
            <w:pPr>
              <w:pStyle w:val="Normaltable"/>
              <w:keepNext/>
              <w:jc w:val="center"/>
              <w:rPr>
                <w:iCs/>
                <w:color w:val="000000"/>
                <w:szCs w:val="22"/>
              </w:rPr>
            </w:pPr>
            <w:r>
              <w:rPr>
                <w:iCs/>
                <w:color w:val="000000"/>
                <w:szCs w:val="22"/>
              </w:rPr>
              <w:t>-0.0066</w:t>
            </w:r>
          </w:p>
        </w:tc>
        <w:tc>
          <w:tcPr>
            <w:tcW w:w="1179"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hideMark/>
          </w:tcPr>
          <w:p w14:paraId="1BAC9EA0" w14:textId="77777777" w:rsidR="004B0A40" w:rsidRPr="006F5D61" w:rsidRDefault="004B0A40" w:rsidP="00B404A5">
            <w:pPr>
              <w:pStyle w:val="Normaltable"/>
              <w:keepNext/>
              <w:jc w:val="center"/>
              <w:rPr>
                <w:i/>
                <w:iCs/>
                <w:szCs w:val="22"/>
              </w:rPr>
            </w:pPr>
            <w:r w:rsidRPr="006F5D61">
              <w:rPr>
                <w:i/>
                <w:iCs/>
                <w:szCs w:val="22"/>
              </w:rPr>
              <w:t>0.0000</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bottom"/>
          </w:tcPr>
          <w:p w14:paraId="484E3219" w14:textId="77777777" w:rsidR="004B0A40" w:rsidRPr="006725B7" w:rsidRDefault="004B0A40" w:rsidP="00B404A5">
            <w:pPr>
              <w:pStyle w:val="Normaltable"/>
              <w:keepNext/>
              <w:jc w:val="center"/>
              <w:rPr>
                <w:iCs/>
                <w:color w:val="000000"/>
                <w:szCs w:val="22"/>
              </w:rPr>
            </w:pPr>
            <w:r>
              <w:rPr>
                <w:iCs/>
                <w:color w:val="000000"/>
                <w:szCs w:val="22"/>
              </w:rPr>
              <w:t>-0.0027</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bottom"/>
          </w:tcPr>
          <w:p w14:paraId="7AE4B7FA" w14:textId="77777777" w:rsidR="004B0A40" w:rsidRPr="006F5D61" w:rsidRDefault="004B0A40" w:rsidP="00B404A5">
            <w:pPr>
              <w:pStyle w:val="Normaltable"/>
              <w:keepNext/>
              <w:jc w:val="center"/>
              <w:rPr>
                <w:i/>
                <w:iCs/>
                <w:szCs w:val="22"/>
              </w:rPr>
            </w:pPr>
            <w:r w:rsidRPr="006725B7">
              <w:rPr>
                <w:i/>
                <w:iCs/>
                <w:szCs w:val="22"/>
              </w:rPr>
              <w:t>0.0002</w:t>
            </w:r>
          </w:p>
        </w:tc>
      </w:tr>
      <w:tr w:rsidR="004B0A40" w:rsidRPr="000A2328" w14:paraId="2F716C5D" w14:textId="77777777" w:rsidTr="004B0A40">
        <w:trPr>
          <w:cantSplit/>
        </w:trPr>
        <w:tc>
          <w:tcPr>
            <w:tcW w:w="1336" w:type="dxa"/>
            <w:vMerge w:val="restart"/>
            <w:tcBorders>
              <w:top w:val="single" w:sz="4" w:space="0" w:color="auto"/>
              <w:left w:val="single" w:sz="4" w:space="0" w:color="auto"/>
              <w:bottom w:val="single" w:sz="4" w:space="0" w:color="auto"/>
              <w:right w:val="single" w:sz="4" w:space="0" w:color="auto"/>
            </w:tcBorders>
            <w:vAlign w:val="center"/>
            <w:hideMark/>
          </w:tcPr>
          <w:p w14:paraId="5D457022" w14:textId="77777777" w:rsidR="004B0A40" w:rsidRPr="000A2328" w:rsidRDefault="004B0A40" w:rsidP="00B404A5">
            <w:pPr>
              <w:pStyle w:val="Normaltable"/>
              <w:rPr>
                <w:bCs/>
                <w:color w:val="000000"/>
                <w:szCs w:val="22"/>
              </w:rPr>
            </w:pPr>
            <w:r w:rsidRPr="000A2328">
              <w:rPr>
                <w:bCs/>
                <w:color w:val="000000"/>
                <w:szCs w:val="22"/>
              </w:rPr>
              <w:t>Rapid Transit</w:t>
            </w:r>
          </w:p>
        </w:tc>
        <w:tc>
          <w:tcPr>
            <w:tcW w:w="2519" w:type="dxa"/>
            <w:tcBorders>
              <w:top w:val="single" w:sz="4" w:space="0" w:color="auto"/>
              <w:left w:val="single" w:sz="4" w:space="0" w:color="auto"/>
              <w:bottom w:val="single" w:sz="4" w:space="0" w:color="BFBFBF" w:themeColor="background1" w:themeShade="BF"/>
              <w:right w:val="single" w:sz="4" w:space="0" w:color="000000" w:themeColor="text1"/>
            </w:tcBorders>
            <w:noWrap/>
            <w:hideMark/>
          </w:tcPr>
          <w:p w14:paraId="4BEBAC9B" w14:textId="77777777" w:rsidR="004B0A40" w:rsidRPr="000A2328" w:rsidRDefault="004B0A40" w:rsidP="00B404A5">
            <w:pPr>
              <w:pStyle w:val="Normaltable"/>
              <w:rPr>
                <w:color w:val="000000"/>
                <w:szCs w:val="22"/>
              </w:rPr>
            </w:pPr>
            <w:r>
              <w:rPr>
                <w:color w:val="000000"/>
                <w:szCs w:val="22"/>
              </w:rPr>
              <w:t>ASC</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hideMark/>
          </w:tcPr>
          <w:p w14:paraId="2B49917F" w14:textId="77777777" w:rsidR="004B0A40" w:rsidRPr="000A2328" w:rsidRDefault="004B0A40" w:rsidP="00B404A5">
            <w:pPr>
              <w:pStyle w:val="Normaltable"/>
              <w:jc w:val="center"/>
              <w:rPr>
                <w:iCs/>
                <w:color w:val="000000"/>
                <w:szCs w:val="22"/>
              </w:rPr>
            </w:pPr>
            <w:r>
              <w:rPr>
                <w:iCs/>
                <w:color w:val="000000"/>
                <w:szCs w:val="22"/>
              </w:rPr>
              <w:t>1.0640</w:t>
            </w:r>
          </w:p>
        </w:tc>
        <w:tc>
          <w:tcPr>
            <w:tcW w:w="1179"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hideMark/>
          </w:tcPr>
          <w:p w14:paraId="405F9126" w14:textId="77777777" w:rsidR="004B0A40" w:rsidRPr="006F5D61" w:rsidRDefault="004B0A40" w:rsidP="00B404A5">
            <w:pPr>
              <w:pStyle w:val="Normaltable"/>
              <w:jc w:val="center"/>
              <w:rPr>
                <w:i/>
                <w:iCs/>
                <w:szCs w:val="22"/>
              </w:rPr>
            </w:pPr>
            <w:r w:rsidRPr="006F5D61">
              <w:rPr>
                <w:i/>
                <w:iCs/>
                <w:szCs w:val="22"/>
              </w:rPr>
              <w:t>0.0000</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bottom"/>
          </w:tcPr>
          <w:p w14:paraId="2D503ABE" w14:textId="77777777" w:rsidR="004B0A40" w:rsidRPr="006725B7" w:rsidRDefault="004B0A40" w:rsidP="00B404A5">
            <w:pPr>
              <w:pStyle w:val="Normaltable"/>
              <w:keepNext/>
              <w:jc w:val="center"/>
              <w:rPr>
                <w:iCs/>
                <w:color w:val="000000"/>
                <w:szCs w:val="22"/>
              </w:rPr>
            </w:pPr>
            <w:r>
              <w:rPr>
                <w:iCs/>
                <w:color w:val="000000"/>
                <w:szCs w:val="22"/>
              </w:rPr>
              <w:t>0.8817</w:t>
            </w:r>
          </w:p>
        </w:tc>
        <w:tc>
          <w:tcPr>
            <w:tcW w:w="134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bottom"/>
          </w:tcPr>
          <w:p w14:paraId="79EA5FFD" w14:textId="77777777" w:rsidR="004B0A40" w:rsidRPr="006F5D61" w:rsidRDefault="004B0A40" w:rsidP="00B404A5">
            <w:pPr>
              <w:pStyle w:val="Normaltable"/>
              <w:keepNext/>
              <w:jc w:val="center"/>
              <w:rPr>
                <w:i/>
                <w:iCs/>
                <w:szCs w:val="22"/>
              </w:rPr>
            </w:pPr>
            <w:r w:rsidRPr="006725B7">
              <w:rPr>
                <w:i/>
                <w:iCs/>
                <w:szCs w:val="22"/>
              </w:rPr>
              <w:t>0.0000</w:t>
            </w:r>
          </w:p>
        </w:tc>
      </w:tr>
      <w:tr w:rsidR="004B0A40" w:rsidRPr="000A2328" w14:paraId="7074CCCD"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hideMark/>
          </w:tcPr>
          <w:p w14:paraId="2D570494" w14:textId="77777777" w:rsidR="004B0A40" w:rsidRPr="000A2328" w:rsidRDefault="004B0A40" w:rsidP="00B404A5">
            <w:pPr>
              <w:pStyle w:val="Normaltable"/>
              <w:rPr>
                <w:b/>
                <w:bCs/>
                <w:color w:val="000000"/>
                <w:szCs w:val="22"/>
                <w:lang w:eastAsia="en-AU"/>
              </w:rPr>
            </w:pPr>
          </w:p>
        </w:tc>
        <w:tc>
          <w:tcPr>
            <w:tcW w:w="2519" w:type="dxa"/>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noWrap/>
            <w:hideMark/>
          </w:tcPr>
          <w:p w14:paraId="7E575E9B" w14:textId="77777777" w:rsidR="004B0A40" w:rsidRPr="000A2328" w:rsidRDefault="004B0A40" w:rsidP="00B404A5">
            <w:pPr>
              <w:pStyle w:val="Normaltable"/>
              <w:rPr>
                <w:color w:val="000000"/>
                <w:szCs w:val="22"/>
              </w:rPr>
            </w:pPr>
            <w:r w:rsidRPr="000A2328">
              <w:rPr>
                <w:color w:val="000000"/>
                <w:szCs w:val="22"/>
              </w:rPr>
              <w:t>Public Transport Fare</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78D54D07" w14:textId="77777777" w:rsidR="004B0A40" w:rsidRPr="000A2328" w:rsidRDefault="004B0A40" w:rsidP="00B404A5">
            <w:pPr>
              <w:pStyle w:val="Normaltable"/>
              <w:jc w:val="center"/>
              <w:rPr>
                <w:iCs/>
                <w:color w:val="000000"/>
                <w:szCs w:val="22"/>
              </w:rPr>
            </w:pPr>
            <w:r w:rsidRPr="000A2328">
              <w:rPr>
                <w:iCs/>
                <w:color w:val="000000"/>
                <w:szCs w:val="22"/>
              </w:rPr>
              <w:t>-0.0145</w:t>
            </w:r>
          </w:p>
        </w:tc>
        <w:tc>
          <w:tcPr>
            <w:tcW w:w="117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29F8F4F7" w14:textId="77777777" w:rsidR="004B0A40" w:rsidRPr="006F5D61" w:rsidRDefault="004B0A40" w:rsidP="00B404A5">
            <w:pPr>
              <w:pStyle w:val="Normaltable"/>
              <w:jc w:val="center"/>
              <w:rPr>
                <w:i/>
                <w:iCs/>
                <w:szCs w:val="22"/>
              </w:rPr>
            </w:pPr>
            <w:r w:rsidRPr="006F5D61">
              <w:rPr>
                <w:i/>
                <w:iCs/>
                <w:szCs w:val="22"/>
              </w:rPr>
              <w:t>0.0000</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4EDA5F1A" w14:textId="77777777" w:rsidR="004B0A40" w:rsidRPr="006725B7" w:rsidRDefault="004B0A40" w:rsidP="00B404A5">
            <w:pPr>
              <w:pStyle w:val="Normaltable"/>
              <w:keepNext/>
              <w:jc w:val="center"/>
              <w:rPr>
                <w:iCs/>
                <w:color w:val="000000"/>
                <w:szCs w:val="22"/>
              </w:rPr>
            </w:pPr>
            <w:r w:rsidRPr="006725B7">
              <w:rPr>
                <w:iCs/>
                <w:color w:val="000000"/>
                <w:szCs w:val="22"/>
              </w:rPr>
              <w:t>-0.0149</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2A7F4B34" w14:textId="77777777" w:rsidR="004B0A40" w:rsidRPr="006F5D61" w:rsidRDefault="004B0A40" w:rsidP="00B404A5">
            <w:pPr>
              <w:pStyle w:val="Normaltable"/>
              <w:keepNext/>
              <w:jc w:val="center"/>
              <w:rPr>
                <w:i/>
                <w:iCs/>
                <w:szCs w:val="22"/>
              </w:rPr>
            </w:pPr>
            <w:r w:rsidRPr="006725B7">
              <w:rPr>
                <w:i/>
                <w:iCs/>
                <w:szCs w:val="22"/>
              </w:rPr>
              <w:t>0.0000</w:t>
            </w:r>
          </w:p>
        </w:tc>
      </w:tr>
      <w:tr w:rsidR="004B0A40" w:rsidRPr="000A2328" w14:paraId="3D90DE47"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hideMark/>
          </w:tcPr>
          <w:p w14:paraId="4BE1B62E" w14:textId="77777777" w:rsidR="004B0A40" w:rsidRPr="000A2328" w:rsidRDefault="004B0A40" w:rsidP="00B404A5">
            <w:pPr>
              <w:pStyle w:val="Normaltable"/>
              <w:rPr>
                <w:b/>
                <w:bCs/>
                <w:color w:val="000000"/>
                <w:szCs w:val="22"/>
                <w:lang w:eastAsia="en-AU"/>
              </w:rPr>
            </w:pPr>
          </w:p>
        </w:tc>
        <w:tc>
          <w:tcPr>
            <w:tcW w:w="2519" w:type="dxa"/>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noWrap/>
            <w:hideMark/>
          </w:tcPr>
          <w:p w14:paraId="2D16D728" w14:textId="77777777" w:rsidR="004B0A40" w:rsidRPr="000A2328" w:rsidRDefault="004B0A40" w:rsidP="00B404A5">
            <w:pPr>
              <w:pStyle w:val="Normaltable"/>
              <w:rPr>
                <w:color w:val="000000"/>
                <w:szCs w:val="22"/>
              </w:rPr>
            </w:pPr>
            <w:r w:rsidRPr="000A2328">
              <w:rPr>
                <w:color w:val="000000"/>
                <w:szCs w:val="22"/>
              </w:rPr>
              <w:t>Walk Time</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6048E834" w14:textId="77777777" w:rsidR="004B0A40" w:rsidRPr="000A2328" w:rsidRDefault="004B0A40" w:rsidP="00B404A5">
            <w:pPr>
              <w:pStyle w:val="Normaltable"/>
              <w:jc w:val="center"/>
              <w:rPr>
                <w:iCs/>
                <w:color w:val="000000"/>
                <w:szCs w:val="22"/>
              </w:rPr>
            </w:pPr>
            <w:r>
              <w:rPr>
                <w:iCs/>
                <w:color w:val="000000"/>
                <w:szCs w:val="22"/>
              </w:rPr>
              <w:t>-0.0101</w:t>
            </w:r>
          </w:p>
        </w:tc>
        <w:tc>
          <w:tcPr>
            <w:tcW w:w="117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hideMark/>
          </w:tcPr>
          <w:p w14:paraId="68010873" w14:textId="77777777" w:rsidR="004B0A40" w:rsidRPr="006F5D61" w:rsidRDefault="004B0A40" w:rsidP="00B404A5">
            <w:pPr>
              <w:pStyle w:val="Normaltable"/>
              <w:jc w:val="center"/>
              <w:rPr>
                <w:i/>
                <w:iCs/>
                <w:szCs w:val="22"/>
              </w:rPr>
            </w:pPr>
            <w:r w:rsidRPr="006F5D61">
              <w:rPr>
                <w:i/>
                <w:iCs/>
                <w:szCs w:val="22"/>
              </w:rPr>
              <w:t>0.0750</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0AAE23C2" w14:textId="77777777" w:rsidR="004B0A40" w:rsidRPr="006725B7" w:rsidRDefault="004B0A40" w:rsidP="00B404A5">
            <w:pPr>
              <w:pStyle w:val="Normaltable"/>
              <w:keepNext/>
              <w:jc w:val="center"/>
              <w:rPr>
                <w:iCs/>
                <w:color w:val="000000"/>
                <w:szCs w:val="22"/>
              </w:rPr>
            </w:pPr>
            <w:r>
              <w:rPr>
                <w:iCs/>
                <w:color w:val="000000"/>
                <w:szCs w:val="22"/>
              </w:rPr>
              <w:t>-0.0131</w:t>
            </w:r>
          </w:p>
        </w:tc>
        <w:tc>
          <w:tcPr>
            <w:tcW w:w="134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bottom"/>
          </w:tcPr>
          <w:p w14:paraId="559E863E" w14:textId="77777777" w:rsidR="004B0A40" w:rsidRPr="006F5D61" w:rsidRDefault="004B0A40" w:rsidP="00B404A5">
            <w:pPr>
              <w:pStyle w:val="Normaltable"/>
              <w:keepNext/>
              <w:jc w:val="center"/>
              <w:rPr>
                <w:i/>
                <w:iCs/>
                <w:szCs w:val="22"/>
              </w:rPr>
            </w:pPr>
            <w:r w:rsidRPr="006725B7">
              <w:rPr>
                <w:i/>
                <w:iCs/>
                <w:szCs w:val="22"/>
              </w:rPr>
              <w:t>0.0119</w:t>
            </w:r>
          </w:p>
        </w:tc>
      </w:tr>
      <w:tr w:rsidR="004B0A40" w:rsidRPr="000A2328" w14:paraId="26883C76" w14:textId="77777777" w:rsidTr="004B0A40">
        <w:trPr>
          <w:cantSplit/>
        </w:trPr>
        <w:tc>
          <w:tcPr>
            <w:tcW w:w="1336" w:type="dxa"/>
            <w:vMerge/>
            <w:tcBorders>
              <w:top w:val="single" w:sz="4" w:space="0" w:color="auto"/>
              <w:left w:val="single" w:sz="4" w:space="0" w:color="auto"/>
              <w:bottom w:val="single" w:sz="4" w:space="0" w:color="auto"/>
              <w:right w:val="single" w:sz="4" w:space="0" w:color="auto"/>
            </w:tcBorders>
            <w:hideMark/>
          </w:tcPr>
          <w:p w14:paraId="79AC16E4" w14:textId="77777777" w:rsidR="004B0A40" w:rsidRPr="000A2328" w:rsidRDefault="004B0A40" w:rsidP="00B404A5">
            <w:pPr>
              <w:pStyle w:val="Normaltable"/>
              <w:rPr>
                <w:b/>
                <w:bCs/>
                <w:color w:val="000000"/>
                <w:szCs w:val="22"/>
                <w:lang w:eastAsia="en-AU"/>
              </w:rPr>
            </w:pPr>
          </w:p>
        </w:tc>
        <w:tc>
          <w:tcPr>
            <w:tcW w:w="2519" w:type="dxa"/>
            <w:tcBorders>
              <w:top w:val="single" w:sz="4" w:space="0" w:color="BFBFBF" w:themeColor="background1" w:themeShade="BF"/>
              <w:left w:val="single" w:sz="4" w:space="0" w:color="auto"/>
              <w:bottom w:val="single" w:sz="4" w:space="0" w:color="auto"/>
              <w:right w:val="single" w:sz="4" w:space="0" w:color="000000" w:themeColor="text1"/>
            </w:tcBorders>
            <w:noWrap/>
            <w:hideMark/>
          </w:tcPr>
          <w:p w14:paraId="59F72582" w14:textId="77777777" w:rsidR="004B0A40" w:rsidRPr="000A2328" w:rsidRDefault="004B0A40" w:rsidP="00B404A5">
            <w:pPr>
              <w:pStyle w:val="Normaltable"/>
              <w:rPr>
                <w:color w:val="000000"/>
                <w:szCs w:val="22"/>
              </w:rPr>
            </w:pPr>
            <w:r w:rsidRPr="000A2328">
              <w:rPr>
                <w:color w:val="000000"/>
                <w:szCs w:val="22"/>
              </w:rPr>
              <w:t>Travel Time</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hideMark/>
          </w:tcPr>
          <w:p w14:paraId="7966CFA7" w14:textId="77777777" w:rsidR="004B0A40" w:rsidRPr="000A2328" w:rsidRDefault="004B0A40" w:rsidP="00B404A5">
            <w:pPr>
              <w:pStyle w:val="Normaltable"/>
              <w:jc w:val="center"/>
              <w:rPr>
                <w:iCs/>
                <w:color w:val="000000"/>
                <w:szCs w:val="22"/>
              </w:rPr>
            </w:pPr>
            <w:r>
              <w:rPr>
                <w:iCs/>
                <w:color w:val="000000"/>
                <w:szCs w:val="22"/>
              </w:rPr>
              <w:t>-0.0071</w:t>
            </w:r>
          </w:p>
        </w:tc>
        <w:tc>
          <w:tcPr>
            <w:tcW w:w="1179"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hideMark/>
          </w:tcPr>
          <w:p w14:paraId="78393B4A" w14:textId="77777777" w:rsidR="004B0A40" w:rsidRPr="006F5D61" w:rsidRDefault="004B0A40" w:rsidP="00B404A5">
            <w:pPr>
              <w:pStyle w:val="Normaltable"/>
              <w:jc w:val="center"/>
              <w:rPr>
                <w:i/>
                <w:iCs/>
                <w:szCs w:val="22"/>
              </w:rPr>
            </w:pPr>
            <w:r w:rsidRPr="006F5D61">
              <w:rPr>
                <w:i/>
                <w:iCs/>
                <w:szCs w:val="22"/>
              </w:rPr>
              <w:t>0.0000</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bottom"/>
          </w:tcPr>
          <w:p w14:paraId="46A48F60" w14:textId="77777777" w:rsidR="004B0A40" w:rsidRPr="006725B7" w:rsidRDefault="004B0A40" w:rsidP="00B404A5">
            <w:pPr>
              <w:pStyle w:val="Normaltable"/>
              <w:keepNext/>
              <w:jc w:val="center"/>
              <w:rPr>
                <w:iCs/>
                <w:color w:val="000000"/>
                <w:szCs w:val="22"/>
              </w:rPr>
            </w:pPr>
            <w:r>
              <w:rPr>
                <w:iCs/>
                <w:color w:val="000000"/>
                <w:szCs w:val="22"/>
              </w:rPr>
              <w:t>-0.0001</w:t>
            </w:r>
          </w:p>
        </w:tc>
        <w:tc>
          <w:tcPr>
            <w:tcW w:w="134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bottom"/>
          </w:tcPr>
          <w:p w14:paraId="321D3BB4" w14:textId="77777777" w:rsidR="004B0A40" w:rsidRPr="006F5D61" w:rsidRDefault="004B0A40" w:rsidP="00B404A5">
            <w:pPr>
              <w:pStyle w:val="Normaltable"/>
              <w:keepNext/>
              <w:jc w:val="center"/>
              <w:rPr>
                <w:i/>
                <w:iCs/>
                <w:szCs w:val="22"/>
              </w:rPr>
            </w:pPr>
            <w:r w:rsidRPr="006725B7">
              <w:rPr>
                <w:i/>
                <w:iCs/>
                <w:szCs w:val="22"/>
              </w:rPr>
              <w:t>0.8937</w:t>
            </w:r>
          </w:p>
        </w:tc>
      </w:tr>
    </w:tbl>
    <w:p w14:paraId="53844D10" w14:textId="77777777" w:rsidR="004B0A40" w:rsidRDefault="004B0A40" w:rsidP="004B0A40">
      <w:pPr>
        <w:jc w:val="left"/>
        <w:rPr>
          <w:i/>
          <w:sz w:val="16"/>
          <w:szCs w:val="16"/>
        </w:rPr>
      </w:pPr>
      <w:r w:rsidRPr="00854EF2">
        <w:rPr>
          <w:i/>
          <w:sz w:val="16"/>
          <w:szCs w:val="16"/>
        </w:rPr>
        <w:t xml:space="preserve">Note: </w:t>
      </w:r>
      <w:r>
        <w:rPr>
          <w:i/>
          <w:sz w:val="16"/>
          <w:szCs w:val="16"/>
        </w:rPr>
        <w:t>‘ASC’</w:t>
      </w:r>
      <w:r w:rsidRPr="00854EF2">
        <w:rPr>
          <w:i/>
          <w:sz w:val="16"/>
          <w:szCs w:val="16"/>
        </w:rPr>
        <w:t xml:space="preserve"> = </w:t>
      </w:r>
      <w:r>
        <w:rPr>
          <w:i/>
          <w:sz w:val="16"/>
          <w:szCs w:val="16"/>
        </w:rPr>
        <w:t>Alternative Specific Constant, ‘Sig.’ = significance.</w:t>
      </w:r>
    </w:p>
    <w:p w14:paraId="158D429F" w14:textId="77777777" w:rsidR="004B0A40" w:rsidRDefault="004B0A40" w:rsidP="004B0A40">
      <w:pPr>
        <w:jc w:val="left"/>
      </w:pPr>
    </w:p>
    <w:p w14:paraId="1B92C2E4" w14:textId="3AC8C7A7" w:rsidR="007656DA" w:rsidRPr="007656DA" w:rsidRDefault="007656DA" w:rsidP="007656DA">
      <w:pPr>
        <w:pStyle w:val="Captionstyle"/>
        <w:keepNext/>
      </w:pPr>
      <w:r w:rsidRPr="007656DA">
        <w:t xml:space="preserve">Table 3 </w:t>
      </w:r>
      <w:r w:rsidRPr="000A2328">
        <w:t>Elasticity estimates by trip purpose</w:t>
      </w:r>
    </w:p>
    <w:tbl>
      <w:tblPr>
        <w:tblW w:w="5000" w:type="pct"/>
        <w:tblCellMar>
          <w:top w:w="28" w:type="dxa"/>
          <w:left w:w="57" w:type="dxa"/>
          <w:bottom w:w="28" w:type="dxa"/>
          <w:right w:w="57" w:type="dxa"/>
        </w:tblCellMar>
        <w:tblLook w:val="04A0" w:firstRow="1" w:lastRow="0" w:firstColumn="1" w:lastColumn="0" w:noHBand="0" w:noVBand="1"/>
      </w:tblPr>
      <w:tblGrid>
        <w:gridCol w:w="1406"/>
        <w:gridCol w:w="2343"/>
        <w:gridCol w:w="1367"/>
        <w:gridCol w:w="1289"/>
        <w:gridCol w:w="1250"/>
        <w:gridCol w:w="1406"/>
      </w:tblGrid>
      <w:tr w:rsidR="007656DA" w:rsidRPr="002B2CC8" w14:paraId="1CBE380E" w14:textId="77777777" w:rsidTr="0053604B">
        <w:trPr>
          <w:cantSplit/>
        </w:trPr>
        <w:tc>
          <w:tcPr>
            <w:tcW w:w="1276" w:type="dxa"/>
            <w:tcBorders>
              <w:top w:val="single" w:sz="4" w:space="0" w:color="auto"/>
              <w:left w:val="single" w:sz="4" w:space="0" w:color="auto"/>
              <w:bottom w:val="single" w:sz="4" w:space="0" w:color="auto"/>
              <w:right w:val="single" w:sz="4" w:space="0" w:color="auto"/>
            </w:tcBorders>
            <w:hideMark/>
          </w:tcPr>
          <w:p w14:paraId="684B6FAE" w14:textId="77777777" w:rsidR="007656DA" w:rsidRPr="002B2CC8" w:rsidRDefault="007656DA" w:rsidP="00880010">
            <w:pPr>
              <w:pStyle w:val="Normaltable"/>
              <w:keepNext/>
              <w:rPr>
                <w:rFonts w:cs="Arial"/>
                <w:b/>
                <w:szCs w:val="20"/>
              </w:rPr>
            </w:pPr>
            <w:r w:rsidRPr="002B2CC8">
              <w:rPr>
                <w:rFonts w:cs="Arial"/>
                <w:b/>
                <w:szCs w:val="20"/>
              </w:rPr>
              <w:t>Mode</w:t>
            </w:r>
          </w:p>
        </w:tc>
        <w:tc>
          <w:tcPr>
            <w:tcW w:w="2126" w:type="dxa"/>
            <w:tcBorders>
              <w:top w:val="single" w:sz="4" w:space="0" w:color="auto"/>
              <w:left w:val="single" w:sz="4" w:space="0" w:color="auto"/>
              <w:bottom w:val="single" w:sz="4" w:space="0" w:color="auto"/>
              <w:right w:val="single" w:sz="4" w:space="0" w:color="auto"/>
            </w:tcBorders>
            <w:hideMark/>
          </w:tcPr>
          <w:p w14:paraId="310851A9" w14:textId="77777777" w:rsidR="007656DA" w:rsidRPr="002B2CC8" w:rsidRDefault="007656DA" w:rsidP="00880010">
            <w:pPr>
              <w:pStyle w:val="Normaltable"/>
              <w:keepNext/>
              <w:rPr>
                <w:rFonts w:cs="Arial"/>
                <w:b/>
                <w:bCs/>
                <w:szCs w:val="20"/>
              </w:rPr>
            </w:pPr>
            <w:r w:rsidRPr="002B2CC8">
              <w:rPr>
                <w:rFonts w:cs="Arial"/>
                <w:b/>
                <w:bCs/>
                <w:szCs w:val="20"/>
              </w:rPr>
              <w:t>Parameter</w:t>
            </w:r>
          </w:p>
        </w:tc>
        <w:tc>
          <w:tcPr>
            <w:tcW w:w="1240" w:type="dxa"/>
            <w:tcBorders>
              <w:top w:val="single" w:sz="4" w:space="0" w:color="auto"/>
              <w:left w:val="single" w:sz="4" w:space="0" w:color="auto"/>
              <w:bottom w:val="single" w:sz="4" w:space="0" w:color="000000" w:themeColor="text1"/>
              <w:right w:val="single" w:sz="4" w:space="0" w:color="auto"/>
            </w:tcBorders>
            <w:hideMark/>
          </w:tcPr>
          <w:p w14:paraId="27318601" w14:textId="77777777" w:rsidR="007656DA" w:rsidRPr="002B2CC8" w:rsidRDefault="007656DA" w:rsidP="00880010">
            <w:pPr>
              <w:pStyle w:val="Normaltable"/>
              <w:keepNext/>
              <w:jc w:val="center"/>
              <w:rPr>
                <w:rFonts w:cs="Arial"/>
                <w:b/>
                <w:bCs/>
                <w:szCs w:val="20"/>
              </w:rPr>
            </w:pPr>
            <w:r w:rsidRPr="002B2CC8">
              <w:rPr>
                <w:rFonts w:cs="Arial"/>
                <w:b/>
                <w:bCs/>
                <w:szCs w:val="20"/>
              </w:rPr>
              <w:t>Routine Work</w:t>
            </w:r>
          </w:p>
        </w:tc>
        <w:tc>
          <w:tcPr>
            <w:tcW w:w="1170" w:type="dxa"/>
            <w:tcBorders>
              <w:top w:val="single" w:sz="4" w:space="0" w:color="auto"/>
              <w:left w:val="single" w:sz="4" w:space="0" w:color="auto"/>
              <w:bottom w:val="single" w:sz="4" w:space="0" w:color="000000" w:themeColor="text1"/>
              <w:right w:val="single" w:sz="4" w:space="0" w:color="auto"/>
            </w:tcBorders>
            <w:hideMark/>
          </w:tcPr>
          <w:p w14:paraId="31EEA463" w14:textId="77777777" w:rsidR="007656DA" w:rsidRPr="002B2CC8" w:rsidRDefault="007656DA" w:rsidP="00880010">
            <w:pPr>
              <w:pStyle w:val="Normaltable"/>
              <w:keepNext/>
              <w:jc w:val="center"/>
              <w:rPr>
                <w:rFonts w:cs="Arial"/>
                <w:b/>
                <w:bCs/>
                <w:szCs w:val="20"/>
              </w:rPr>
            </w:pPr>
            <w:r w:rsidRPr="002B2CC8">
              <w:rPr>
                <w:rFonts w:cs="Arial"/>
                <w:b/>
                <w:bCs/>
                <w:szCs w:val="20"/>
              </w:rPr>
              <w:t>Routine Education</w:t>
            </w:r>
          </w:p>
        </w:tc>
        <w:tc>
          <w:tcPr>
            <w:tcW w:w="1134" w:type="dxa"/>
            <w:tcBorders>
              <w:top w:val="single" w:sz="4" w:space="0" w:color="auto"/>
              <w:left w:val="single" w:sz="4" w:space="0" w:color="auto"/>
              <w:bottom w:val="single" w:sz="4" w:space="0" w:color="000000" w:themeColor="text1"/>
              <w:right w:val="single" w:sz="4" w:space="0" w:color="auto"/>
            </w:tcBorders>
            <w:hideMark/>
          </w:tcPr>
          <w:p w14:paraId="2B254381" w14:textId="77777777" w:rsidR="007656DA" w:rsidRPr="002B2CC8" w:rsidRDefault="007656DA" w:rsidP="00880010">
            <w:pPr>
              <w:pStyle w:val="Normaltable"/>
              <w:keepNext/>
              <w:jc w:val="center"/>
              <w:rPr>
                <w:rFonts w:cs="Arial"/>
                <w:b/>
                <w:bCs/>
                <w:szCs w:val="20"/>
              </w:rPr>
            </w:pPr>
            <w:r w:rsidRPr="002B2CC8">
              <w:rPr>
                <w:rFonts w:cs="Arial"/>
                <w:b/>
                <w:bCs/>
                <w:szCs w:val="20"/>
              </w:rPr>
              <w:t>Routine Other</w:t>
            </w:r>
          </w:p>
        </w:tc>
        <w:tc>
          <w:tcPr>
            <w:tcW w:w="1276" w:type="dxa"/>
            <w:tcBorders>
              <w:top w:val="single" w:sz="4" w:space="0" w:color="auto"/>
              <w:left w:val="single" w:sz="4" w:space="0" w:color="auto"/>
              <w:bottom w:val="single" w:sz="4" w:space="0" w:color="000000" w:themeColor="text1"/>
              <w:right w:val="single" w:sz="4" w:space="0" w:color="auto"/>
            </w:tcBorders>
            <w:hideMark/>
          </w:tcPr>
          <w:p w14:paraId="4F9B8806" w14:textId="77777777" w:rsidR="007656DA" w:rsidRPr="002B2CC8" w:rsidRDefault="007656DA" w:rsidP="00880010">
            <w:pPr>
              <w:pStyle w:val="Normaltable"/>
              <w:keepNext/>
              <w:jc w:val="center"/>
              <w:rPr>
                <w:rFonts w:cs="Arial"/>
                <w:b/>
                <w:bCs/>
                <w:szCs w:val="20"/>
              </w:rPr>
            </w:pPr>
            <w:r w:rsidRPr="002B2CC8">
              <w:rPr>
                <w:rFonts w:cs="Arial"/>
                <w:b/>
                <w:bCs/>
                <w:szCs w:val="20"/>
              </w:rPr>
              <w:t>Non-</w:t>
            </w:r>
            <w:r w:rsidRPr="002B2CC8">
              <w:rPr>
                <w:rFonts w:cs="Arial"/>
                <w:b/>
                <w:bCs/>
                <w:szCs w:val="20"/>
              </w:rPr>
              <w:br/>
              <w:t>Routine</w:t>
            </w:r>
          </w:p>
        </w:tc>
      </w:tr>
      <w:tr w:rsidR="007656DA" w:rsidRPr="002B2CC8" w14:paraId="675C98A7" w14:textId="77777777" w:rsidTr="0053604B">
        <w:trPr>
          <w:cantSplit/>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48793DD0" w14:textId="77777777" w:rsidR="007656DA" w:rsidRPr="002B2CC8" w:rsidRDefault="007656DA" w:rsidP="00880010">
            <w:pPr>
              <w:pStyle w:val="Normaltable"/>
              <w:keepNext/>
              <w:rPr>
                <w:rFonts w:cs="Arial"/>
                <w:bCs/>
                <w:color w:val="000000"/>
                <w:szCs w:val="20"/>
              </w:rPr>
            </w:pPr>
            <w:r w:rsidRPr="002B2CC8">
              <w:rPr>
                <w:rFonts w:cs="Arial"/>
                <w:bCs/>
                <w:color w:val="000000"/>
                <w:szCs w:val="20"/>
              </w:rPr>
              <w:t>Motorcycle</w:t>
            </w:r>
          </w:p>
        </w:tc>
        <w:tc>
          <w:tcPr>
            <w:tcW w:w="2126" w:type="dxa"/>
            <w:tcBorders>
              <w:top w:val="single" w:sz="4" w:space="0" w:color="auto"/>
              <w:left w:val="single" w:sz="4" w:space="0" w:color="auto"/>
              <w:bottom w:val="single" w:sz="4" w:space="0" w:color="BFBFBF" w:themeColor="background1" w:themeShade="BF"/>
              <w:right w:val="single" w:sz="4" w:space="0" w:color="000000" w:themeColor="text1"/>
            </w:tcBorders>
            <w:noWrap/>
            <w:vAlign w:val="center"/>
            <w:hideMark/>
          </w:tcPr>
          <w:p w14:paraId="6E452E66" w14:textId="77777777" w:rsidR="007656DA" w:rsidRPr="002B2CC8" w:rsidRDefault="007656DA" w:rsidP="00880010">
            <w:pPr>
              <w:pStyle w:val="Normaltable"/>
              <w:keepNext/>
              <w:rPr>
                <w:rFonts w:cs="Arial"/>
                <w:color w:val="000000"/>
                <w:szCs w:val="20"/>
              </w:rPr>
            </w:pPr>
            <w:r w:rsidRPr="002B2CC8">
              <w:rPr>
                <w:rFonts w:cs="Arial"/>
                <w:color w:val="000000"/>
                <w:szCs w:val="20"/>
              </w:rPr>
              <w:t>Fuel Cost</w:t>
            </w:r>
          </w:p>
        </w:tc>
        <w:tc>
          <w:tcPr>
            <w:tcW w:w="124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vAlign w:val="center"/>
            <w:hideMark/>
          </w:tcPr>
          <w:p w14:paraId="6F11F716" w14:textId="77777777" w:rsidR="007656DA" w:rsidRPr="002B2CC8" w:rsidRDefault="007656DA" w:rsidP="00880010">
            <w:pPr>
              <w:pStyle w:val="Normaltable"/>
              <w:keepNext/>
              <w:jc w:val="center"/>
              <w:rPr>
                <w:rFonts w:cs="Arial"/>
                <w:szCs w:val="20"/>
                <w:lang w:eastAsia="en-US"/>
              </w:rPr>
            </w:pPr>
            <w:r w:rsidRPr="002B2CC8">
              <w:rPr>
                <w:rFonts w:cs="Arial"/>
                <w:szCs w:val="20"/>
              </w:rPr>
              <w:t>-0.0044</w:t>
            </w:r>
          </w:p>
        </w:tc>
        <w:tc>
          <w:tcPr>
            <w:tcW w:w="117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1F4106E6" w14:textId="77777777" w:rsidR="007656DA" w:rsidRPr="002B2CC8" w:rsidRDefault="007656DA" w:rsidP="00880010">
            <w:pPr>
              <w:pStyle w:val="Normaltable"/>
              <w:keepNext/>
              <w:jc w:val="center"/>
              <w:rPr>
                <w:rFonts w:cs="Arial"/>
                <w:szCs w:val="20"/>
              </w:rPr>
            </w:pPr>
            <w:r w:rsidRPr="002B2CC8">
              <w:rPr>
                <w:rFonts w:cs="Arial"/>
                <w:szCs w:val="20"/>
              </w:rPr>
              <w:t>-0.0158</w:t>
            </w:r>
          </w:p>
        </w:tc>
        <w:tc>
          <w:tcPr>
            <w:tcW w:w="113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1CB25B6E" w14:textId="77777777" w:rsidR="007656DA" w:rsidRPr="002B2CC8" w:rsidRDefault="007656DA" w:rsidP="00880010">
            <w:pPr>
              <w:pStyle w:val="Normaltable"/>
              <w:keepNext/>
              <w:jc w:val="center"/>
              <w:rPr>
                <w:rFonts w:cs="Arial"/>
                <w:szCs w:val="20"/>
              </w:rPr>
            </w:pPr>
            <w:r w:rsidRPr="002B2CC8">
              <w:rPr>
                <w:rFonts w:cs="Arial"/>
                <w:szCs w:val="20"/>
              </w:rPr>
              <w:t>-0.0301</w:t>
            </w:r>
          </w:p>
        </w:tc>
        <w:tc>
          <w:tcPr>
            <w:tcW w:w="1276"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016A5572" w14:textId="77777777" w:rsidR="007656DA" w:rsidRPr="002B2CC8" w:rsidRDefault="007656DA" w:rsidP="00880010">
            <w:pPr>
              <w:pStyle w:val="Normaltable"/>
              <w:keepNext/>
              <w:jc w:val="center"/>
              <w:rPr>
                <w:rFonts w:cs="Arial"/>
                <w:szCs w:val="20"/>
              </w:rPr>
            </w:pPr>
            <w:r w:rsidRPr="002B2CC8">
              <w:rPr>
                <w:rFonts w:cs="Arial"/>
                <w:szCs w:val="20"/>
              </w:rPr>
              <w:t>-0.0388</w:t>
            </w:r>
          </w:p>
        </w:tc>
      </w:tr>
      <w:tr w:rsidR="007656DA" w:rsidRPr="002B2CC8" w14:paraId="3B7291C7" w14:textId="77777777" w:rsidTr="0053604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66593F3E" w14:textId="77777777" w:rsidR="007656DA" w:rsidRPr="002B2CC8" w:rsidRDefault="007656DA" w:rsidP="00880010">
            <w:pPr>
              <w:pStyle w:val="Normaltable"/>
              <w:keepNext/>
              <w:rPr>
                <w:rFonts w:cs="Arial"/>
                <w:bCs/>
                <w:color w:val="000000"/>
                <w:szCs w:val="20"/>
                <w:lang w:eastAsia="en-AU"/>
              </w:rPr>
            </w:pPr>
          </w:p>
        </w:tc>
        <w:tc>
          <w:tcPr>
            <w:tcW w:w="2126" w:type="dxa"/>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noWrap/>
            <w:vAlign w:val="center"/>
            <w:hideMark/>
          </w:tcPr>
          <w:p w14:paraId="08DC2D81" w14:textId="77777777" w:rsidR="007656DA" w:rsidRPr="002B2CC8" w:rsidRDefault="007656DA" w:rsidP="00880010">
            <w:pPr>
              <w:pStyle w:val="Normaltable"/>
              <w:keepNext/>
              <w:rPr>
                <w:rFonts w:cs="Arial"/>
                <w:color w:val="000000"/>
                <w:szCs w:val="20"/>
              </w:rPr>
            </w:pPr>
            <w:r w:rsidRPr="002B2CC8">
              <w:rPr>
                <w:rFonts w:cs="Arial"/>
                <w:color w:val="000000"/>
                <w:szCs w:val="20"/>
              </w:rPr>
              <w:t>Parking Cost</w:t>
            </w:r>
          </w:p>
        </w:tc>
        <w:tc>
          <w:tcPr>
            <w:tcW w:w="124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vAlign w:val="center"/>
            <w:hideMark/>
          </w:tcPr>
          <w:p w14:paraId="01CA6AA2" w14:textId="77777777" w:rsidR="007656DA" w:rsidRPr="002B2CC8" w:rsidRDefault="007656DA" w:rsidP="00880010">
            <w:pPr>
              <w:pStyle w:val="Normaltable"/>
              <w:keepNext/>
              <w:jc w:val="center"/>
              <w:rPr>
                <w:rFonts w:cs="Arial"/>
                <w:szCs w:val="20"/>
                <w:lang w:eastAsia="en-US"/>
              </w:rPr>
            </w:pPr>
            <w:r w:rsidRPr="002B2CC8">
              <w:rPr>
                <w:rFonts w:cs="Arial"/>
                <w:szCs w:val="20"/>
              </w:rPr>
              <w:t>-0.0045</w:t>
            </w:r>
          </w:p>
        </w:tc>
        <w:tc>
          <w:tcPr>
            <w:tcW w:w="117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4D69883E" w14:textId="77777777" w:rsidR="007656DA" w:rsidRPr="002B2CC8" w:rsidRDefault="007656DA" w:rsidP="00880010">
            <w:pPr>
              <w:pStyle w:val="Normaltable"/>
              <w:keepNext/>
              <w:jc w:val="center"/>
              <w:rPr>
                <w:rFonts w:cs="Arial"/>
                <w:szCs w:val="20"/>
              </w:rPr>
            </w:pPr>
            <w:r w:rsidRPr="002B2CC8">
              <w:rPr>
                <w:rFonts w:cs="Arial"/>
                <w:szCs w:val="20"/>
              </w:rPr>
              <w:t>-0.0092</w:t>
            </w:r>
          </w:p>
        </w:tc>
        <w:tc>
          <w:tcPr>
            <w:tcW w:w="113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649C7FA0" w14:textId="77777777" w:rsidR="007656DA" w:rsidRPr="002B2CC8" w:rsidRDefault="007656DA" w:rsidP="00880010">
            <w:pPr>
              <w:pStyle w:val="Normaltable"/>
              <w:keepNext/>
              <w:jc w:val="center"/>
              <w:rPr>
                <w:rFonts w:cs="Arial"/>
                <w:szCs w:val="20"/>
              </w:rPr>
            </w:pPr>
            <w:r w:rsidRPr="002B2CC8">
              <w:rPr>
                <w:rFonts w:cs="Arial"/>
                <w:szCs w:val="20"/>
              </w:rPr>
              <w:t>-0.0446</w:t>
            </w:r>
          </w:p>
        </w:tc>
        <w:tc>
          <w:tcPr>
            <w:tcW w:w="127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62D90A72" w14:textId="77777777" w:rsidR="007656DA" w:rsidRPr="002B2CC8" w:rsidRDefault="007656DA" w:rsidP="00880010">
            <w:pPr>
              <w:pStyle w:val="Normaltable"/>
              <w:keepNext/>
              <w:jc w:val="center"/>
              <w:rPr>
                <w:rFonts w:cs="Arial"/>
                <w:szCs w:val="20"/>
              </w:rPr>
            </w:pPr>
            <w:r w:rsidRPr="002B2CC8">
              <w:rPr>
                <w:rFonts w:cs="Arial"/>
                <w:szCs w:val="20"/>
              </w:rPr>
              <w:t>-0.0097</w:t>
            </w:r>
          </w:p>
        </w:tc>
      </w:tr>
      <w:tr w:rsidR="007656DA" w:rsidRPr="002B2CC8" w14:paraId="2C16E133" w14:textId="77777777" w:rsidTr="0053604B">
        <w:trPr>
          <w:cantSplit/>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354F5B61" w14:textId="77777777" w:rsidR="007656DA" w:rsidRPr="002B2CC8" w:rsidRDefault="007656DA" w:rsidP="00880010">
            <w:pPr>
              <w:pStyle w:val="Normaltable"/>
              <w:keepNext/>
              <w:rPr>
                <w:rFonts w:cs="Arial"/>
                <w:bCs/>
                <w:color w:val="000000"/>
                <w:szCs w:val="20"/>
                <w:lang w:eastAsia="en-AU"/>
              </w:rPr>
            </w:pPr>
          </w:p>
        </w:tc>
        <w:tc>
          <w:tcPr>
            <w:tcW w:w="2126" w:type="dxa"/>
            <w:tcBorders>
              <w:top w:val="single" w:sz="4" w:space="0" w:color="BFBFBF" w:themeColor="background1" w:themeShade="BF"/>
              <w:left w:val="single" w:sz="4" w:space="0" w:color="auto"/>
              <w:bottom w:val="single" w:sz="4" w:space="0" w:color="auto"/>
              <w:right w:val="single" w:sz="4" w:space="0" w:color="000000" w:themeColor="text1"/>
            </w:tcBorders>
            <w:noWrap/>
            <w:vAlign w:val="center"/>
            <w:hideMark/>
          </w:tcPr>
          <w:p w14:paraId="40717B25" w14:textId="77777777" w:rsidR="007656DA" w:rsidRPr="002B2CC8" w:rsidRDefault="007656DA" w:rsidP="00880010">
            <w:pPr>
              <w:pStyle w:val="Normaltable"/>
              <w:keepNext/>
              <w:rPr>
                <w:rFonts w:cs="Arial"/>
                <w:color w:val="000000"/>
                <w:szCs w:val="20"/>
              </w:rPr>
            </w:pPr>
            <w:r w:rsidRPr="002B2CC8">
              <w:rPr>
                <w:rFonts w:cs="Arial"/>
                <w:color w:val="000000"/>
                <w:szCs w:val="20"/>
              </w:rPr>
              <w:t>Travel Time</w:t>
            </w:r>
          </w:p>
        </w:tc>
        <w:tc>
          <w:tcPr>
            <w:tcW w:w="124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vAlign w:val="center"/>
            <w:hideMark/>
          </w:tcPr>
          <w:p w14:paraId="5C8E0B4A" w14:textId="77777777" w:rsidR="007656DA" w:rsidRPr="002B2CC8" w:rsidRDefault="007656DA" w:rsidP="00880010">
            <w:pPr>
              <w:pStyle w:val="Normaltable"/>
              <w:keepNext/>
              <w:jc w:val="center"/>
              <w:rPr>
                <w:rFonts w:cs="Arial"/>
                <w:szCs w:val="20"/>
                <w:lang w:eastAsia="en-US"/>
              </w:rPr>
            </w:pPr>
            <w:r w:rsidRPr="002B2CC8">
              <w:rPr>
                <w:rFonts w:cs="Arial"/>
                <w:szCs w:val="20"/>
              </w:rPr>
              <w:t>-0.0223</w:t>
            </w:r>
          </w:p>
        </w:tc>
        <w:tc>
          <w:tcPr>
            <w:tcW w:w="117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5053EF59" w14:textId="77777777" w:rsidR="007656DA" w:rsidRPr="002B2CC8" w:rsidRDefault="007656DA" w:rsidP="00880010">
            <w:pPr>
              <w:pStyle w:val="Normaltable"/>
              <w:keepNext/>
              <w:jc w:val="center"/>
              <w:rPr>
                <w:rFonts w:cs="Arial"/>
                <w:szCs w:val="20"/>
              </w:rPr>
            </w:pPr>
            <w:r w:rsidRPr="002B2CC8">
              <w:rPr>
                <w:rFonts w:cs="Arial"/>
                <w:szCs w:val="20"/>
              </w:rPr>
              <w:t>-0.0157</w:t>
            </w:r>
          </w:p>
        </w:tc>
        <w:tc>
          <w:tcPr>
            <w:tcW w:w="113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3F11FE87" w14:textId="77777777" w:rsidR="007656DA" w:rsidRPr="002B2CC8" w:rsidRDefault="007656DA" w:rsidP="00880010">
            <w:pPr>
              <w:pStyle w:val="Normaltable"/>
              <w:keepNext/>
              <w:jc w:val="center"/>
              <w:rPr>
                <w:rFonts w:cs="Arial"/>
                <w:szCs w:val="20"/>
              </w:rPr>
            </w:pPr>
            <w:r w:rsidRPr="002B2CC8">
              <w:rPr>
                <w:rFonts w:cs="Arial"/>
                <w:szCs w:val="20"/>
              </w:rPr>
              <w:t>-0.0451</w:t>
            </w:r>
          </w:p>
        </w:tc>
        <w:tc>
          <w:tcPr>
            <w:tcW w:w="1276"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305E48AD" w14:textId="77777777" w:rsidR="007656DA" w:rsidRPr="002B2CC8" w:rsidRDefault="007656DA" w:rsidP="00880010">
            <w:pPr>
              <w:pStyle w:val="Normaltable"/>
              <w:keepNext/>
              <w:jc w:val="center"/>
              <w:rPr>
                <w:rFonts w:cs="Arial"/>
                <w:szCs w:val="20"/>
              </w:rPr>
            </w:pPr>
            <w:r w:rsidRPr="002B2CC8">
              <w:rPr>
                <w:rFonts w:cs="Arial"/>
                <w:szCs w:val="20"/>
              </w:rPr>
              <w:t>-0.0168</w:t>
            </w:r>
          </w:p>
        </w:tc>
      </w:tr>
      <w:tr w:rsidR="007656DA" w:rsidRPr="002B2CC8" w14:paraId="4C747BAF" w14:textId="77777777" w:rsidTr="0053604B">
        <w:trPr>
          <w:cantSplit/>
        </w:trPr>
        <w:tc>
          <w:tcPr>
            <w:tcW w:w="1276" w:type="dxa"/>
            <w:vMerge w:val="restart"/>
            <w:tcBorders>
              <w:top w:val="nil"/>
              <w:left w:val="single" w:sz="4" w:space="0" w:color="auto"/>
              <w:bottom w:val="single" w:sz="4" w:space="0" w:color="auto"/>
              <w:right w:val="single" w:sz="4" w:space="0" w:color="auto"/>
            </w:tcBorders>
            <w:vAlign w:val="center"/>
            <w:hideMark/>
          </w:tcPr>
          <w:p w14:paraId="04CA3EE4" w14:textId="77777777" w:rsidR="007656DA" w:rsidRPr="002B2CC8" w:rsidRDefault="007656DA" w:rsidP="00880010">
            <w:pPr>
              <w:pStyle w:val="Normaltable"/>
              <w:keepNext/>
              <w:rPr>
                <w:rFonts w:cs="Arial"/>
                <w:bCs/>
                <w:color w:val="000000"/>
                <w:szCs w:val="20"/>
              </w:rPr>
            </w:pPr>
            <w:r w:rsidRPr="002B2CC8">
              <w:rPr>
                <w:rFonts w:cs="Arial"/>
                <w:bCs/>
                <w:color w:val="000000"/>
                <w:szCs w:val="20"/>
              </w:rPr>
              <w:t>Car</w:t>
            </w:r>
          </w:p>
        </w:tc>
        <w:tc>
          <w:tcPr>
            <w:tcW w:w="2126" w:type="dxa"/>
            <w:tcBorders>
              <w:top w:val="single" w:sz="4" w:space="0" w:color="auto"/>
              <w:left w:val="single" w:sz="4" w:space="0" w:color="auto"/>
              <w:bottom w:val="single" w:sz="4" w:space="0" w:color="BFBFBF" w:themeColor="background1" w:themeShade="BF"/>
              <w:right w:val="single" w:sz="4" w:space="0" w:color="000000" w:themeColor="text1"/>
            </w:tcBorders>
            <w:noWrap/>
            <w:vAlign w:val="center"/>
            <w:hideMark/>
          </w:tcPr>
          <w:p w14:paraId="5DDB70BE" w14:textId="77777777" w:rsidR="007656DA" w:rsidRPr="002B2CC8" w:rsidRDefault="007656DA" w:rsidP="00880010">
            <w:pPr>
              <w:pStyle w:val="Normaltable"/>
              <w:keepNext/>
              <w:rPr>
                <w:rFonts w:cs="Arial"/>
                <w:color w:val="000000"/>
                <w:szCs w:val="20"/>
              </w:rPr>
            </w:pPr>
            <w:r w:rsidRPr="002B2CC8">
              <w:rPr>
                <w:rFonts w:cs="Arial"/>
                <w:color w:val="000000"/>
                <w:szCs w:val="20"/>
              </w:rPr>
              <w:t>Fuel Cost</w:t>
            </w:r>
          </w:p>
        </w:tc>
        <w:tc>
          <w:tcPr>
            <w:tcW w:w="124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vAlign w:val="center"/>
            <w:hideMark/>
          </w:tcPr>
          <w:p w14:paraId="4681008A" w14:textId="77777777" w:rsidR="007656DA" w:rsidRPr="002B2CC8" w:rsidRDefault="007656DA" w:rsidP="00880010">
            <w:pPr>
              <w:pStyle w:val="Normaltable"/>
              <w:keepNext/>
              <w:jc w:val="center"/>
              <w:rPr>
                <w:rFonts w:cs="Arial"/>
                <w:szCs w:val="20"/>
                <w:lang w:eastAsia="en-US"/>
              </w:rPr>
            </w:pPr>
            <w:r w:rsidRPr="002B2CC8">
              <w:rPr>
                <w:rFonts w:cs="Arial"/>
                <w:szCs w:val="20"/>
              </w:rPr>
              <w:t>-0.1342</w:t>
            </w:r>
          </w:p>
        </w:tc>
        <w:tc>
          <w:tcPr>
            <w:tcW w:w="117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5DFE8DF7" w14:textId="77777777" w:rsidR="007656DA" w:rsidRPr="002B2CC8" w:rsidRDefault="007656DA" w:rsidP="00880010">
            <w:pPr>
              <w:pStyle w:val="Normaltable"/>
              <w:keepNext/>
              <w:jc w:val="center"/>
              <w:rPr>
                <w:rFonts w:cs="Arial"/>
                <w:szCs w:val="20"/>
              </w:rPr>
            </w:pPr>
            <w:r w:rsidRPr="002B2CC8">
              <w:rPr>
                <w:rFonts w:cs="Arial"/>
                <w:szCs w:val="20"/>
              </w:rPr>
              <w:t>-0.0831</w:t>
            </w:r>
          </w:p>
        </w:tc>
        <w:tc>
          <w:tcPr>
            <w:tcW w:w="113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099922C9" w14:textId="77777777" w:rsidR="007656DA" w:rsidRPr="002B2CC8" w:rsidRDefault="007656DA" w:rsidP="00880010">
            <w:pPr>
              <w:pStyle w:val="Normaltable"/>
              <w:keepNext/>
              <w:jc w:val="center"/>
              <w:rPr>
                <w:rFonts w:cs="Arial"/>
                <w:szCs w:val="20"/>
              </w:rPr>
            </w:pPr>
            <w:r w:rsidRPr="002B2CC8">
              <w:rPr>
                <w:rFonts w:cs="Arial"/>
                <w:szCs w:val="20"/>
              </w:rPr>
              <w:t>-0.1559</w:t>
            </w:r>
          </w:p>
        </w:tc>
        <w:tc>
          <w:tcPr>
            <w:tcW w:w="1276"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52D83BA1" w14:textId="77777777" w:rsidR="007656DA" w:rsidRPr="002B2CC8" w:rsidRDefault="007656DA" w:rsidP="00880010">
            <w:pPr>
              <w:pStyle w:val="Normaltable"/>
              <w:keepNext/>
              <w:jc w:val="center"/>
              <w:rPr>
                <w:rFonts w:cs="Arial"/>
                <w:szCs w:val="20"/>
              </w:rPr>
            </w:pPr>
            <w:r w:rsidRPr="002B2CC8">
              <w:rPr>
                <w:rFonts w:cs="Arial"/>
                <w:szCs w:val="20"/>
              </w:rPr>
              <w:t>-0.0487</w:t>
            </w:r>
          </w:p>
        </w:tc>
      </w:tr>
      <w:tr w:rsidR="007656DA" w:rsidRPr="002B2CC8" w14:paraId="00011B55" w14:textId="77777777" w:rsidTr="0053604B">
        <w:trPr>
          <w:cantSplit/>
        </w:trPr>
        <w:tc>
          <w:tcPr>
            <w:tcW w:w="1276" w:type="dxa"/>
            <w:vMerge/>
            <w:tcBorders>
              <w:top w:val="nil"/>
              <w:left w:val="single" w:sz="4" w:space="0" w:color="auto"/>
              <w:bottom w:val="single" w:sz="4" w:space="0" w:color="auto"/>
              <w:right w:val="single" w:sz="4" w:space="0" w:color="auto"/>
            </w:tcBorders>
            <w:vAlign w:val="center"/>
            <w:hideMark/>
          </w:tcPr>
          <w:p w14:paraId="2BB9CD81" w14:textId="77777777" w:rsidR="007656DA" w:rsidRPr="002B2CC8" w:rsidRDefault="007656DA" w:rsidP="00880010">
            <w:pPr>
              <w:pStyle w:val="Normaltable"/>
              <w:keepNext/>
              <w:rPr>
                <w:rFonts w:cs="Arial"/>
                <w:bCs/>
                <w:color w:val="000000"/>
                <w:szCs w:val="20"/>
                <w:lang w:eastAsia="en-AU"/>
              </w:rPr>
            </w:pPr>
          </w:p>
        </w:tc>
        <w:tc>
          <w:tcPr>
            <w:tcW w:w="2126" w:type="dxa"/>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noWrap/>
            <w:vAlign w:val="center"/>
            <w:hideMark/>
          </w:tcPr>
          <w:p w14:paraId="120D9B0B" w14:textId="77777777" w:rsidR="007656DA" w:rsidRPr="002B2CC8" w:rsidRDefault="007656DA" w:rsidP="00880010">
            <w:pPr>
              <w:pStyle w:val="Normaltable"/>
              <w:keepNext/>
              <w:rPr>
                <w:rFonts w:cs="Arial"/>
                <w:color w:val="000000"/>
                <w:szCs w:val="20"/>
              </w:rPr>
            </w:pPr>
            <w:r w:rsidRPr="002B2CC8">
              <w:rPr>
                <w:rFonts w:cs="Arial"/>
                <w:color w:val="000000"/>
                <w:szCs w:val="20"/>
              </w:rPr>
              <w:t>Parking Cost</w:t>
            </w:r>
          </w:p>
        </w:tc>
        <w:tc>
          <w:tcPr>
            <w:tcW w:w="124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vAlign w:val="center"/>
            <w:hideMark/>
          </w:tcPr>
          <w:p w14:paraId="2F01ABEB" w14:textId="77777777" w:rsidR="007656DA" w:rsidRPr="002B2CC8" w:rsidRDefault="007656DA" w:rsidP="00880010">
            <w:pPr>
              <w:pStyle w:val="Normaltable"/>
              <w:keepNext/>
              <w:jc w:val="center"/>
              <w:rPr>
                <w:rFonts w:cs="Arial"/>
                <w:szCs w:val="20"/>
                <w:lang w:eastAsia="en-US"/>
              </w:rPr>
            </w:pPr>
            <w:r w:rsidRPr="002B2CC8">
              <w:rPr>
                <w:rFonts w:cs="Arial"/>
                <w:szCs w:val="20"/>
              </w:rPr>
              <w:t>-0.0350</w:t>
            </w:r>
          </w:p>
        </w:tc>
        <w:tc>
          <w:tcPr>
            <w:tcW w:w="117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6E2D35AD" w14:textId="77777777" w:rsidR="007656DA" w:rsidRPr="002B2CC8" w:rsidRDefault="007656DA" w:rsidP="00880010">
            <w:pPr>
              <w:pStyle w:val="Normaltable"/>
              <w:keepNext/>
              <w:jc w:val="center"/>
              <w:rPr>
                <w:rFonts w:cs="Arial"/>
                <w:szCs w:val="20"/>
              </w:rPr>
            </w:pPr>
            <w:r w:rsidRPr="002B2CC8">
              <w:rPr>
                <w:rFonts w:cs="Arial"/>
                <w:szCs w:val="20"/>
              </w:rPr>
              <w:t>-0.0408</w:t>
            </w:r>
          </w:p>
        </w:tc>
        <w:tc>
          <w:tcPr>
            <w:tcW w:w="113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57712FD9" w14:textId="77777777" w:rsidR="007656DA" w:rsidRPr="002B2CC8" w:rsidRDefault="007656DA" w:rsidP="00880010">
            <w:pPr>
              <w:pStyle w:val="Normaltable"/>
              <w:keepNext/>
              <w:jc w:val="center"/>
              <w:rPr>
                <w:rFonts w:cs="Arial"/>
                <w:szCs w:val="20"/>
              </w:rPr>
            </w:pPr>
            <w:r w:rsidRPr="002B2CC8">
              <w:rPr>
                <w:rFonts w:cs="Arial"/>
                <w:szCs w:val="20"/>
              </w:rPr>
              <w:t>-0.0202</w:t>
            </w:r>
          </w:p>
        </w:tc>
        <w:tc>
          <w:tcPr>
            <w:tcW w:w="127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2C45775E" w14:textId="77777777" w:rsidR="007656DA" w:rsidRPr="002B2CC8" w:rsidRDefault="007656DA" w:rsidP="00880010">
            <w:pPr>
              <w:pStyle w:val="Normaltable"/>
              <w:keepNext/>
              <w:jc w:val="center"/>
              <w:rPr>
                <w:rFonts w:cs="Arial"/>
                <w:szCs w:val="20"/>
              </w:rPr>
            </w:pPr>
            <w:r w:rsidRPr="002B2CC8">
              <w:rPr>
                <w:rFonts w:cs="Arial"/>
                <w:szCs w:val="20"/>
              </w:rPr>
              <w:t>-0.0210</w:t>
            </w:r>
          </w:p>
        </w:tc>
      </w:tr>
      <w:tr w:rsidR="007656DA" w:rsidRPr="002B2CC8" w14:paraId="3C3C3D7F" w14:textId="77777777" w:rsidTr="0053604B">
        <w:trPr>
          <w:cantSplit/>
        </w:trPr>
        <w:tc>
          <w:tcPr>
            <w:tcW w:w="1276" w:type="dxa"/>
            <w:vMerge/>
            <w:tcBorders>
              <w:top w:val="nil"/>
              <w:left w:val="single" w:sz="4" w:space="0" w:color="auto"/>
              <w:bottom w:val="single" w:sz="4" w:space="0" w:color="auto"/>
              <w:right w:val="single" w:sz="4" w:space="0" w:color="auto"/>
            </w:tcBorders>
            <w:vAlign w:val="center"/>
            <w:hideMark/>
          </w:tcPr>
          <w:p w14:paraId="4582389C" w14:textId="77777777" w:rsidR="007656DA" w:rsidRPr="002B2CC8" w:rsidRDefault="007656DA" w:rsidP="00880010">
            <w:pPr>
              <w:pStyle w:val="Normaltable"/>
              <w:keepNext/>
              <w:rPr>
                <w:rFonts w:cs="Arial"/>
                <w:bCs/>
                <w:color w:val="000000"/>
                <w:szCs w:val="20"/>
                <w:lang w:eastAsia="en-AU"/>
              </w:rPr>
            </w:pPr>
          </w:p>
        </w:tc>
        <w:tc>
          <w:tcPr>
            <w:tcW w:w="2126" w:type="dxa"/>
            <w:tcBorders>
              <w:top w:val="single" w:sz="4" w:space="0" w:color="BFBFBF" w:themeColor="background1" w:themeShade="BF"/>
              <w:left w:val="single" w:sz="4" w:space="0" w:color="auto"/>
              <w:bottom w:val="single" w:sz="4" w:space="0" w:color="auto"/>
              <w:right w:val="single" w:sz="4" w:space="0" w:color="000000" w:themeColor="text1"/>
            </w:tcBorders>
            <w:noWrap/>
            <w:vAlign w:val="center"/>
            <w:hideMark/>
          </w:tcPr>
          <w:p w14:paraId="2FC2A35F" w14:textId="77777777" w:rsidR="007656DA" w:rsidRPr="002B2CC8" w:rsidRDefault="007656DA" w:rsidP="00880010">
            <w:pPr>
              <w:pStyle w:val="Normaltable"/>
              <w:keepNext/>
              <w:rPr>
                <w:rFonts w:cs="Arial"/>
                <w:color w:val="000000"/>
                <w:szCs w:val="20"/>
              </w:rPr>
            </w:pPr>
            <w:r w:rsidRPr="002B2CC8">
              <w:rPr>
                <w:rFonts w:cs="Arial"/>
                <w:color w:val="000000"/>
                <w:szCs w:val="20"/>
              </w:rPr>
              <w:t>Travel Time</w:t>
            </w:r>
          </w:p>
        </w:tc>
        <w:tc>
          <w:tcPr>
            <w:tcW w:w="124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vAlign w:val="center"/>
            <w:hideMark/>
          </w:tcPr>
          <w:p w14:paraId="59024E06" w14:textId="77777777" w:rsidR="007656DA" w:rsidRPr="002B2CC8" w:rsidRDefault="007656DA" w:rsidP="00880010">
            <w:pPr>
              <w:pStyle w:val="Normaltable"/>
              <w:keepNext/>
              <w:jc w:val="center"/>
              <w:rPr>
                <w:rFonts w:cs="Arial"/>
                <w:szCs w:val="20"/>
                <w:lang w:eastAsia="en-US"/>
              </w:rPr>
            </w:pPr>
            <w:r w:rsidRPr="002B2CC8">
              <w:rPr>
                <w:rFonts w:cs="Arial"/>
                <w:szCs w:val="20"/>
              </w:rPr>
              <w:t>-0.0300</w:t>
            </w:r>
          </w:p>
        </w:tc>
        <w:tc>
          <w:tcPr>
            <w:tcW w:w="117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48782634" w14:textId="77777777" w:rsidR="007656DA" w:rsidRPr="002B2CC8" w:rsidRDefault="007656DA" w:rsidP="00880010">
            <w:pPr>
              <w:pStyle w:val="Normaltable"/>
              <w:keepNext/>
              <w:jc w:val="center"/>
              <w:rPr>
                <w:rFonts w:cs="Arial"/>
                <w:szCs w:val="20"/>
              </w:rPr>
            </w:pPr>
            <w:r w:rsidRPr="002B2CC8">
              <w:rPr>
                <w:rFonts w:cs="Arial"/>
                <w:szCs w:val="20"/>
              </w:rPr>
              <w:t>-0.0187</w:t>
            </w:r>
          </w:p>
        </w:tc>
        <w:tc>
          <w:tcPr>
            <w:tcW w:w="113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445E738E" w14:textId="77777777" w:rsidR="007656DA" w:rsidRPr="002B2CC8" w:rsidRDefault="007656DA" w:rsidP="00880010">
            <w:pPr>
              <w:pStyle w:val="Normaltable"/>
              <w:keepNext/>
              <w:jc w:val="center"/>
              <w:rPr>
                <w:rFonts w:cs="Arial"/>
                <w:szCs w:val="20"/>
              </w:rPr>
            </w:pPr>
            <w:r w:rsidRPr="002B2CC8">
              <w:rPr>
                <w:rFonts w:cs="Arial"/>
                <w:szCs w:val="20"/>
              </w:rPr>
              <w:t>-0.0823</w:t>
            </w:r>
          </w:p>
        </w:tc>
        <w:tc>
          <w:tcPr>
            <w:tcW w:w="1276"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7683E02E" w14:textId="77777777" w:rsidR="007656DA" w:rsidRPr="002B2CC8" w:rsidRDefault="007656DA" w:rsidP="00880010">
            <w:pPr>
              <w:pStyle w:val="Normaltable"/>
              <w:keepNext/>
              <w:jc w:val="center"/>
              <w:rPr>
                <w:rFonts w:cs="Arial"/>
                <w:szCs w:val="20"/>
              </w:rPr>
            </w:pPr>
            <w:r w:rsidRPr="002B2CC8">
              <w:rPr>
                <w:rFonts w:cs="Arial"/>
                <w:szCs w:val="20"/>
              </w:rPr>
              <w:t>-0.0028</w:t>
            </w:r>
          </w:p>
        </w:tc>
      </w:tr>
      <w:tr w:rsidR="007656DA" w:rsidRPr="002B2CC8" w14:paraId="5CA9E9E6" w14:textId="77777777" w:rsidTr="0053604B">
        <w:trPr>
          <w:cantSplit/>
        </w:trPr>
        <w:tc>
          <w:tcPr>
            <w:tcW w:w="1276" w:type="dxa"/>
            <w:vMerge w:val="restart"/>
            <w:tcBorders>
              <w:top w:val="nil"/>
              <w:left w:val="single" w:sz="4" w:space="0" w:color="auto"/>
              <w:bottom w:val="single" w:sz="4" w:space="0" w:color="auto"/>
              <w:right w:val="single" w:sz="4" w:space="0" w:color="auto"/>
            </w:tcBorders>
            <w:vAlign w:val="center"/>
            <w:hideMark/>
          </w:tcPr>
          <w:p w14:paraId="6E10037B" w14:textId="77777777" w:rsidR="007656DA" w:rsidRPr="002B2CC8" w:rsidRDefault="007656DA" w:rsidP="00880010">
            <w:pPr>
              <w:pStyle w:val="Normaltable"/>
              <w:keepNext/>
              <w:rPr>
                <w:rFonts w:cs="Arial"/>
                <w:bCs/>
                <w:color w:val="000000"/>
                <w:szCs w:val="20"/>
              </w:rPr>
            </w:pPr>
            <w:r w:rsidRPr="002B2CC8">
              <w:rPr>
                <w:rFonts w:cs="Arial"/>
                <w:bCs/>
                <w:color w:val="000000"/>
                <w:szCs w:val="20"/>
              </w:rPr>
              <w:t>Motorcycle Taxi</w:t>
            </w:r>
          </w:p>
        </w:tc>
        <w:tc>
          <w:tcPr>
            <w:tcW w:w="2126" w:type="dxa"/>
            <w:tcBorders>
              <w:top w:val="single" w:sz="4" w:space="0" w:color="auto"/>
              <w:left w:val="single" w:sz="4" w:space="0" w:color="auto"/>
              <w:bottom w:val="single" w:sz="4" w:space="0" w:color="BFBFBF" w:themeColor="background1" w:themeShade="BF"/>
              <w:right w:val="single" w:sz="4" w:space="0" w:color="000000" w:themeColor="text1"/>
            </w:tcBorders>
            <w:noWrap/>
            <w:vAlign w:val="center"/>
            <w:hideMark/>
          </w:tcPr>
          <w:p w14:paraId="7762776C" w14:textId="77777777" w:rsidR="007656DA" w:rsidRPr="002B2CC8" w:rsidRDefault="007656DA" w:rsidP="00880010">
            <w:pPr>
              <w:pStyle w:val="Normaltable"/>
              <w:keepNext/>
              <w:rPr>
                <w:rFonts w:cs="Arial"/>
                <w:color w:val="000000"/>
                <w:szCs w:val="20"/>
              </w:rPr>
            </w:pPr>
            <w:r w:rsidRPr="002B2CC8">
              <w:rPr>
                <w:rFonts w:cs="Arial"/>
                <w:color w:val="000000"/>
                <w:szCs w:val="20"/>
              </w:rPr>
              <w:t>MC Taxi Fare</w:t>
            </w:r>
          </w:p>
        </w:tc>
        <w:tc>
          <w:tcPr>
            <w:tcW w:w="124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vAlign w:val="center"/>
            <w:hideMark/>
          </w:tcPr>
          <w:p w14:paraId="178C6040" w14:textId="77777777" w:rsidR="007656DA" w:rsidRPr="002B2CC8" w:rsidRDefault="007656DA" w:rsidP="00880010">
            <w:pPr>
              <w:pStyle w:val="Normaltable"/>
              <w:keepNext/>
              <w:jc w:val="center"/>
              <w:rPr>
                <w:rFonts w:cs="Arial"/>
                <w:szCs w:val="20"/>
                <w:lang w:eastAsia="en-US"/>
              </w:rPr>
            </w:pPr>
            <w:r w:rsidRPr="002B2CC8">
              <w:rPr>
                <w:rFonts w:cs="Arial"/>
                <w:szCs w:val="20"/>
              </w:rPr>
              <w:t>-0.0695</w:t>
            </w:r>
          </w:p>
        </w:tc>
        <w:tc>
          <w:tcPr>
            <w:tcW w:w="117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7F552E05" w14:textId="77777777" w:rsidR="007656DA" w:rsidRPr="002B2CC8" w:rsidRDefault="007656DA" w:rsidP="00880010">
            <w:pPr>
              <w:pStyle w:val="Normaltable"/>
              <w:keepNext/>
              <w:jc w:val="center"/>
              <w:rPr>
                <w:rFonts w:cs="Arial"/>
                <w:szCs w:val="20"/>
              </w:rPr>
            </w:pPr>
            <w:r w:rsidRPr="002B2CC8">
              <w:rPr>
                <w:rFonts w:cs="Arial"/>
                <w:szCs w:val="20"/>
              </w:rPr>
              <w:t>-0.1915</w:t>
            </w:r>
          </w:p>
        </w:tc>
        <w:tc>
          <w:tcPr>
            <w:tcW w:w="113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01D36D8E" w14:textId="77777777" w:rsidR="007656DA" w:rsidRPr="002B2CC8" w:rsidRDefault="007656DA" w:rsidP="00880010">
            <w:pPr>
              <w:pStyle w:val="Normaltable"/>
              <w:keepNext/>
              <w:jc w:val="center"/>
              <w:rPr>
                <w:rFonts w:cs="Arial"/>
                <w:szCs w:val="20"/>
              </w:rPr>
            </w:pPr>
            <w:r w:rsidRPr="002B2CC8">
              <w:rPr>
                <w:rFonts w:cs="Arial"/>
                <w:szCs w:val="20"/>
              </w:rPr>
              <w:t>-0.2652</w:t>
            </w:r>
          </w:p>
        </w:tc>
        <w:tc>
          <w:tcPr>
            <w:tcW w:w="1276"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271E9E41" w14:textId="77777777" w:rsidR="007656DA" w:rsidRPr="002B2CC8" w:rsidRDefault="007656DA" w:rsidP="00880010">
            <w:pPr>
              <w:pStyle w:val="Normaltable"/>
              <w:keepNext/>
              <w:jc w:val="center"/>
              <w:rPr>
                <w:rFonts w:cs="Arial"/>
                <w:szCs w:val="20"/>
              </w:rPr>
            </w:pPr>
            <w:r w:rsidRPr="002B2CC8">
              <w:rPr>
                <w:rFonts w:cs="Arial"/>
                <w:szCs w:val="20"/>
              </w:rPr>
              <w:t>-0.1055</w:t>
            </w:r>
          </w:p>
        </w:tc>
      </w:tr>
      <w:tr w:rsidR="007656DA" w:rsidRPr="002B2CC8" w14:paraId="50A0BDC7" w14:textId="77777777" w:rsidTr="0053604B">
        <w:trPr>
          <w:cantSplit/>
        </w:trPr>
        <w:tc>
          <w:tcPr>
            <w:tcW w:w="1276" w:type="dxa"/>
            <w:vMerge/>
            <w:tcBorders>
              <w:top w:val="nil"/>
              <w:left w:val="single" w:sz="4" w:space="0" w:color="auto"/>
              <w:bottom w:val="single" w:sz="4" w:space="0" w:color="auto"/>
              <w:right w:val="single" w:sz="4" w:space="0" w:color="auto"/>
            </w:tcBorders>
            <w:vAlign w:val="center"/>
            <w:hideMark/>
          </w:tcPr>
          <w:p w14:paraId="7D7EF591" w14:textId="77777777" w:rsidR="007656DA" w:rsidRPr="002B2CC8" w:rsidRDefault="007656DA" w:rsidP="00880010">
            <w:pPr>
              <w:pStyle w:val="Normaltable"/>
              <w:keepNext/>
              <w:rPr>
                <w:rFonts w:cs="Arial"/>
                <w:bCs/>
                <w:color w:val="000000"/>
                <w:szCs w:val="20"/>
                <w:lang w:eastAsia="en-AU"/>
              </w:rPr>
            </w:pPr>
          </w:p>
        </w:tc>
        <w:tc>
          <w:tcPr>
            <w:tcW w:w="2126" w:type="dxa"/>
            <w:tcBorders>
              <w:top w:val="single" w:sz="4" w:space="0" w:color="BFBFBF" w:themeColor="background1" w:themeShade="BF"/>
              <w:left w:val="single" w:sz="4" w:space="0" w:color="auto"/>
              <w:bottom w:val="single" w:sz="4" w:space="0" w:color="auto"/>
              <w:right w:val="single" w:sz="4" w:space="0" w:color="000000" w:themeColor="text1"/>
            </w:tcBorders>
            <w:noWrap/>
            <w:vAlign w:val="center"/>
            <w:hideMark/>
          </w:tcPr>
          <w:p w14:paraId="0A9FB3CA" w14:textId="77777777" w:rsidR="007656DA" w:rsidRPr="002B2CC8" w:rsidRDefault="007656DA" w:rsidP="00880010">
            <w:pPr>
              <w:pStyle w:val="Normaltable"/>
              <w:keepNext/>
              <w:rPr>
                <w:rFonts w:cs="Arial"/>
                <w:color w:val="000000"/>
                <w:szCs w:val="20"/>
              </w:rPr>
            </w:pPr>
            <w:r w:rsidRPr="002B2CC8">
              <w:rPr>
                <w:rFonts w:cs="Arial"/>
                <w:color w:val="000000"/>
                <w:szCs w:val="20"/>
              </w:rPr>
              <w:t>Travel Time</w:t>
            </w:r>
          </w:p>
        </w:tc>
        <w:tc>
          <w:tcPr>
            <w:tcW w:w="124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vAlign w:val="center"/>
            <w:hideMark/>
          </w:tcPr>
          <w:p w14:paraId="2BC10674" w14:textId="77777777" w:rsidR="007656DA" w:rsidRPr="002B2CC8" w:rsidRDefault="007656DA" w:rsidP="00880010">
            <w:pPr>
              <w:pStyle w:val="Normaltable"/>
              <w:keepNext/>
              <w:jc w:val="center"/>
              <w:rPr>
                <w:rFonts w:cs="Arial"/>
                <w:szCs w:val="20"/>
                <w:lang w:eastAsia="en-US"/>
              </w:rPr>
            </w:pPr>
            <w:r w:rsidRPr="002B2CC8">
              <w:rPr>
                <w:rFonts w:cs="Arial"/>
                <w:szCs w:val="20"/>
              </w:rPr>
              <w:t>-0.0350</w:t>
            </w:r>
          </w:p>
        </w:tc>
        <w:tc>
          <w:tcPr>
            <w:tcW w:w="117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27216137" w14:textId="77777777" w:rsidR="007656DA" w:rsidRPr="002B2CC8" w:rsidRDefault="007656DA" w:rsidP="00880010">
            <w:pPr>
              <w:pStyle w:val="Normaltable"/>
              <w:keepNext/>
              <w:jc w:val="center"/>
              <w:rPr>
                <w:rFonts w:cs="Arial"/>
                <w:szCs w:val="20"/>
              </w:rPr>
            </w:pPr>
            <w:r w:rsidRPr="002B2CC8">
              <w:rPr>
                <w:rFonts w:cs="Arial"/>
                <w:szCs w:val="20"/>
              </w:rPr>
              <w:t>-0.0201</w:t>
            </w:r>
          </w:p>
        </w:tc>
        <w:tc>
          <w:tcPr>
            <w:tcW w:w="113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469B42FD" w14:textId="77777777" w:rsidR="007656DA" w:rsidRPr="002B2CC8" w:rsidRDefault="007656DA" w:rsidP="00880010">
            <w:pPr>
              <w:pStyle w:val="Normaltable"/>
              <w:keepNext/>
              <w:jc w:val="center"/>
              <w:rPr>
                <w:rFonts w:cs="Arial"/>
                <w:szCs w:val="20"/>
              </w:rPr>
            </w:pPr>
            <w:r w:rsidRPr="002B2CC8">
              <w:rPr>
                <w:rFonts w:cs="Arial"/>
                <w:szCs w:val="20"/>
              </w:rPr>
              <w:t>-0.0426</w:t>
            </w:r>
          </w:p>
        </w:tc>
        <w:tc>
          <w:tcPr>
            <w:tcW w:w="1276"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4D65ACBD" w14:textId="77777777" w:rsidR="007656DA" w:rsidRPr="002B2CC8" w:rsidRDefault="007656DA" w:rsidP="00880010">
            <w:pPr>
              <w:pStyle w:val="Normaltable"/>
              <w:keepNext/>
              <w:jc w:val="center"/>
              <w:rPr>
                <w:rFonts w:cs="Arial"/>
                <w:szCs w:val="20"/>
              </w:rPr>
            </w:pPr>
            <w:r w:rsidRPr="002B2CC8">
              <w:rPr>
                <w:rFonts w:cs="Arial"/>
                <w:szCs w:val="20"/>
              </w:rPr>
              <w:t>-0.0145</w:t>
            </w:r>
          </w:p>
        </w:tc>
      </w:tr>
      <w:tr w:rsidR="007656DA" w:rsidRPr="002B2CC8" w14:paraId="7EC7BFF4" w14:textId="77777777" w:rsidTr="0053604B">
        <w:trPr>
          <w:cantSplit/>
        </w:trPr>
        <w:tc>
          <w:tcPr>
            <w:tcW w:w="1276" w:type="dxa"/>
            <w:vMerge w:val="restart"/>
            <w:tcBorders>
              <w:top w:val="nil"/>
              <w:left w:val="single" w:sz="4" w:space="0" w:color="auto"/>
              <w:bottom w:val="single" w:sz="4" w:space="0" w:color="auto"/>
              <w:right w:val="single" w:sz="4" w:space="0" w:color="auto"/>
            </w:tcBorders>
            <w:vAlign w:val="center"/>
            <w:hideMark/>
          </w:tcPr>
          <w:p w14:paraId="419D6372" w14:textId="77777777" w:rsidR="007656DA" w:rsidRPr="002B2CC8" w:rsidRDefault="007656DA" w:rsidP="00880010">
            <w:pPr>
              <w:pStyle w:val="Normaltable"/>
              <w:keepNext/>
              <w:rPr>
                <w:rFonts w:cs="Arial"/>
                <w:bCs/>
                <w:color w:val="000000"/>
                <w:szCs w:val="20"/>
              </w:rPr>
            </w:pPr>
            <w:r w:rsidRPr="002B2CC8">
              <w:rPr>
                <w:rFonts w:cs="Arial"/>
                <w:bCs/>
                <w:color w:val="000000"/>
                <w:szCs w:val="20"/>
              </w:rPr>
              <w:t>Bus</w:t>
            </w:r>
          </w:p>
        </w:tc>
        <w:tc>
          <w:tcPr>
            <w:tcW w:w="2126" w:type="dxa"/>
            <w:tcBorders>
              <w:top w:val="single" w:sz="4" w:space="0" w:color="auto"/>
              <w:left w:val="single" w:sz="4" w:space="0" w:color="auto"/>
              <w:bottom w:val="single" w:sz="4" w:space="0" w:color="BFBFBF" w:themeColor="background1" w:themeShade="BF"/>
              <w:right w:val="single" w:sz="4" w:space="0" w:color="000000" w:themeColor="text1"/>
            </w:tcBorders>
            <w:noWrap/>
            <w:vAlign w:val="center"/>
            <w:hideMark/>
          </w:tcPr>
          <w:p w14:paraId="4DFCD252" w14:textId="77777777" w:rsidR="007656DA" w:rsidRPr="002B2CC8" w:rsidRDefault="007656DA" w:rsidP="00880010">
            <w:pPr>
              <w:pStyle w:val="Normaltable"/>
              <w:keepNext/>
              <w:rPr>
                <w:rFonts w:cs="Arial"/>
                <w:color w:val="000000"/>
                <w:szCs w:val="20"/>
              </w:rPr>
            </w:pPr>
            <w:r w:rsidRPr="002B2CC8">
              <w:rPr>
                <w:rFonts w:cs="Arial"/>
                <w:color w:val="000000"/>
                <w:szCs w:val="20"/>
              </w:rPr>
              <w:t>Public Transport Fare</w:t>
            </w:r>
          </w:p>
        </w:tc>
        <w:tc>
          <w:tcPr>
            <w:tcW w:w="124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vAlign w:val="center"/>
            <w:hideMark/>
          </w:tcPr>
          <w:p w14:paraId="771D7FAF" w14:textId="77777777" w:rsidR="007656DA" w:rsidRPr="002B2CC8" w:rsidRDefault="007656DA" w:rsidP="00880010">
            <w:pPr>
              <w:pStyle w:val="Normaltable"/>
              <w:keepNext/>
              <w:jc w:val="center"/>
              <w:rPr>
                <w:rFonts w:cs="Arial"/>
                <w:szCs w:val="20"/>
                <w:lang w:eastAsia="en-US"/>
              </w:rPr>
            </w:pPr>
            <w:r w:rsidRPr="002B2CC8">
              <w:rPr>
                <w:rFonts w:cs="Arial"/>
                <w:szCs w:val="20"/>
              </w:rPr>
              <w:t>-0.0737</w:t>
            </w:r>
          </w:p>
        </w:tc>
        <w:tc>
          <w:tcPr>
            <w:tcW w:w="117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41B84BFE" w14:textId="77777777" w:rsidR="007656DA" w:rsidRPr="002B2CC8" w:rsidRDefault="007656DA" w:rsidP="00880010">
            <w:pPr>
              <w:pStyle w:val="Normaltable"/>
              <w:keepNext/>
              <w:jc w:val="center"/>
              <w:rPr>
                <w:rFonts w:cs="Arial"/>
                <w:szCs w:val="20"/>
              </w:rPr>
            </w:pPr>
            <w:r w:rsidRPr="002B2CC8">
              <w:rPr>
                <w:rFonts w:cs="Arial"/>
                <w:szCs w:val="20"/>
              </w:rPr>
              <w:t>-0.1511</w:t>
            </w:r>
          </w:p>
        </w:tc>
        <w:tc>
          <w:tcPr>
            <w:tcW w:w="113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56482D02" w14:textId="77777777" w:rsidR="007656DA" w:rsidRPr="002B2CC8" w:rsidRDefault="007656DA" w:rsidP="00880010">
            <w:pPr>
              <w:pStyle w:val="Normaltable"/>
              <w:keepNext/>
              <w:jc w:val="center"/>
              <w:rPr>
                <w:rFonts w:cs="Arial"/>
                <w:szCs w:val="20"/>
              </w:rPr>
            </w:pPr>
            <w:r w:rsidRPr="002B2CC8">
              <w:rPr>
                <w:rFonts w:cs="Arial"/>
                <w:szCs w:val="20"/>
              </w:rPr>
              <w:t>-0.1599</w:t>
            </w:r>
          </w:p>
        </w:tc>
        <w:tc>
          <w:tcPr>
            <w:tcW w:w="1276"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29F3887C" w14:textId="77777777" w:rsidR="007656DA" w:rsidRPr="002B2CC8" w:rsidRDefault="007656DA" w:rsidP="00880010">
            <w:pPr>
              <w:pStyle w:val="Normaltable"/>
              <w:keepNext/>
              <w:jc w:val="center"/>
              <w:rPr>
                <w:rFonts w:cs="Arial"/>
                <w:szCs w:val="20"/>
              </w:rPr>
            </w:pPr>
            <w:r w:rsidRPr="002B2CC8">
              <w:rPr>
                <w:rFonts w:cs="Arial"/>
                <w:szCs w:val="20"/>
              </w:rPr>
              <w:t>-0.0695</w:t>
            </w:r>
          </w:p>
        </w:tc>
      </w:tr>
      <w:tr w:rsidR="007656DA" w:rsidRPr="002B2CC8" w14:paraId="7F68288E" w14:textId="77777777" w:rsidTr="0053604B">
        <w:trPr>
          <w:cantSplit/>
        </w:trPr>
        <w:tc>
          <w:tcPr>
            <w:tcW w:w="1276" w:type="dxa"/>
            <w:vMerge/>
            <w:tcBorders>
              <w:top w:val="nil"/>
              <w:left w:val="single" w:sz="4" w:space="0" w:color="auto"/>
              <w:bottom w:val="single" w:sz="4" w:space="0" w:color="auto"/>
              <w:right w:val="single" w:sz="4" w:space="0" w:color="auto"/>
            </w:tcBorders>
            <w:vAlign w:val="center"/>
            <w:hideMark/>
          </w:tcPr>
          <w:p w14:paraId="501BFBB6" w14:textId="77777777" w:rsidR="007656DA" w:rsidRPr="002B2CC8" w:rsidRDefault="007656DA" w:rsidP="00880010">
            <w:pPr>
              <w:pStyle w:val="Normaltable"/>
              <w:keepNext/>
              <w:rPr>
                <w:rFonts w:cs="Arial"/>
                <w:bCs/>
                <w:color w:val="000000"/>
                <w:szCs w:val="20"/>
                <w:lang w:eastAsia="en-AU"/>
              </w:rPr>
            </w:pPr>
          </w:p>
        </w:tc>
        <w:tc>
          <w:tcPr>
            <w:tcW w:w="2126" w:type="dxa"/>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noWrap/>
            <w:vAlign w:val="center"/>
            <w:hideMark/>
          </w:tcPr>
          <w:p w14:paraId="5C94498F" w14:textId="77777777" w:rsidR="007656DA" w:rsidRPr="002B2CC8" w:rsidRDefault="007656DA" w:rsidP="00880010">
            <w:pPr>
              <w:pStyle w:val="Normaltable"/>
              <w:keepNext/>
              <w:rPr>
                <w:rFonts w:cs="Arial"/>
                <w:color w:val="000000"/>
                <w:szCs w:val="20"/>
              </w:rPr>
            </w:pPr>
            <w:r w:rsidRPr="002B2CC8">
              <w:rPr>
                <w:rFonts w:cs="Arial"/>
                <w:color w:val="000000"/>
                <w:szCs w:val="20"/>
              </w:rPr>
              <w:t>Walk Time</w:t>
            </w:r>
          </w:p>
        </w:tc>
        <w:tc>
          <w:tcPr>
            <w:tcW w:w="124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vAlign w:val="center"/>
            <w:hideMark/>
          </w:tcPr>
          <w:p w14:paraId="3FD6E7FD" w14:textId="77777777" w:rsidR="007656DA" w:rsidRPr="002B2CC8" w:rsidRDefault="007656DA" w:rsidP="00880010">
            <w:pPr>
              <w:pStyle w:val="Normaltable"/>
              <w:keepNext/>
              <w:jc w:val="center"/>
              <w:rPr>
                <w:rFonts w:cs="Arial"/>
                <w:szCs w:val="20"/>
                <w:lang w:eastAsia="en-US"/>
              </w:rPr>
            </w:pPr>
            <w:r w:rsidRPr="002B2CC8">
              <w:rPr>
                <w:rFonts w:cs="Arial"/>
                <w:szCs w:val="20"/>
              </w:rPr>
              <w:t>-0.0171</w:t>
            </w:r>
          </w:p>
        </w:tc>
        <w:tc>
          <w:tcPr>
            <w:tcW w:w="117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328EA41C" w14:textId="77777777" w:rsidR="007656DA" w:rsidRPr="002B2CC8" w:rsidRDefault="007656DA" w:rsidP="00880010">
            <w:pPr>
              <w:pStyle w:val="Normaltable"/>
              <w:keepNext/>
              <w:jc w:val="center"/>
              <w:rPr>
                <w:rFonts w:cs="Arial"/>
                <w:szCs w:val="20"/>
              </w:rPr>
            </w:pPr>
            <w:r w:rsidRPr="002B2CC8">
              <w:rPr>
                <w:rFonts w:cs="Arial"/>
                <w:szCs w:val="20"/>
              </w:rPr>
              <w:t>-0.0726</w:t>
            </w:r>
          </w:p>
        </w:tc>
        <w:tc>
          <w:tcPr>
            <w:tcW w:w="113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253A9FCA" w14:textId="77777777" w:rsidR="007656DA" w:rsidRPr="002B2CC8" w:rsidRDefault="007656DA" w:rsidP="00880010">
            <w:pPr>
              <w:pStyle w:val="Normaltable"/>
              <w:keepNext/>
              <w:jc w:val="center"/>
              <w:rPr>
                <w:rFonts w:cs="Arial"/>
                <w:szCs w:val="20"/>
              </w:rPr>
            </w:pPr>
            <w:r w:rsidRPr="002B2CC8">
              <w:rPr>
                <w:rFonts w:cs="Arial"/>
                <w:szCs w:val="20"/>
              </w:rPr>
              <w:t>-0.1441</w:t>
            </w:r>
          </w:p>
        </w:tc>
        <w:tc>
          <w:tcPr>
            <w:tcW w:w="127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5510C526" w14:textId="77777777" w:rsidR="007656DA" w:rsidRPr="002B2CC8" w:rsidRDefault="007656DA" w:rsidP="00880010">
            <w:pPr>
              <w:pStyle w:val="Normaltable"/>
              <w:keepNext/>
              <w:jc w:val="center"/>
              <w:rPr>
                <w:rFonts w:cs="Arial"/>
                <w:szCs w:val="20"/>
              </w:rPr>
            </w:pPr>
            <w:r w:rsidRPr="002B2CC8">
              <w:rPr>
                <w:rFonts w:cs="Arial"/>
                <w:szCs w:val="20"/>
              </w:rPr>
              <w:t>-0.0247</w:t>
            </w:r>
          </w:p>
        </w:tc>
      </w:tr>
      <w:tr w:rsidR="007656DA" w:rsidRPr="002B2CC8" w14:paraId="14F9DB5D" w14:textId="77777777" w:rsidTr="0053604B">
        <w:trPr>
          <w:cantSplit/>
        </w:trPr>
        <w:tc>
          <w:tcPr>
            <w:tcW w:w="1276" w:type="dxa"/>
            <w:vMerge/>
            <w:tcBorders>
              <w:top w:val="nil"/>
              <w:left w:val="single" w:sz="4" w:space="0" w:color="auto"/>
              <w:bottom w:val="single" w:sz="4" w:space="0" w:color="auto"/>
              <w:right w:val="single" w:sz="4" w:space="0" w:color="auto"/>
            </w:tcBorders>
            <w:vAlign w:val="center"/>
            <w:hideMark/>
          </w:tcPr>
          <w:p w14:paraId="59E8C30D" w14:textId="77777777" w:rsidR="007656DA" w:rsidRPr="002B2CC8" w:rsidRDefault="007656DA" w:rsidP="00880010">
            <w:pPr>
              <w:pStyle w:val="Normaltable"/>
              <w:keepNext/>
              <w:rPr>
                <w:rFonts w:cs="Arial"/>
                <w:bCs/>
                <w:color w:val="000000"/>
                <w:szCs w:val="20"/>
                <w:lang w:eastAsia="en-AU"/>
              </w:rPr>
            </w:pPr>
          </w:p>
        </w:tc>
        <w:tc>
          <w:tcPr>
            <w:tcW w:w="2126" w:type="dxa"/>
            <w:tcBorders>
              <w:top w:val="single" w:sz="4" w:space="0" w:color="BFBFBF" w:themeColor="background1" w:themeShade="BF"/>
              <w:left w:val="single" w:sz="4" w:space="0" w:color="auto"/>
              <w:bottom w:val="single" w:sz="4" w:space="0" w:color="auto"/>
              <w:right w:val="single" w:sz="4" w:space="0" w:color="000000" w:themeColor="text1"/>
            </w:tcBorders>
            <w:noWrap/>
            <w:vAlign w:val="center"/>
            <w:hideMark/>
          </w:tcPr>
          <w:p w14:paraId="518FA01D" w14:textId="77777777" w:rsidR="007656DA" w:rsidRPr="002B2CC8" w:rsidRDefault="007656DA" w:rsidP="00880010">
            <w:pPr>
              <w:pStyle w:val="Normaltable"/>
              <w:keepNext/>
              <w:rPr>
                <w:rFonts w:cs="Arial"/>
                <w:color w:val="000000"/>
                <w:szCs w:val="20"/>
              </w:rPr>
            </w:pPr>
            <w:r w:rsidRPr="002B2CC8">
              <w:rPr>
                <w:rFonts w:cs="Arial"/>
                <w:color w:val="000000"/>
                <w:szCs w:val="20"/>
              </w:rPr>
              <w:t>Travel Time</w:t>
            </w:r>
          </w:p>
        </w:tc>
        <w:tc>
          <w:tcPr>
            <w:tcW w:w="124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vAlign w:val="center"/>
            <w:hideMark/>
          </w:tcPr>
          <w:p w14:paraId="0DFE62F0" w14:textId="77777777" w:rsidR="007656DA" w:rsidRPr="002B2CC8" w:rsidRDefault="007656DA" w:rsidP="00880010">
            <w:pPr>
              <w:pStyle w:val="Normaltable"/>
              <w:keepNext/>
              <w:jc w:val="center"/>
              <w:rPr>
                <w:rFonts w:cs="Arial"/>
                <w:szCs w:val="20"/>
                <w:lang w:eastAsia="en-US"/>
              </w:rPr>
            </w:pPr>
            <w:r w:rsidRPr="002B2CC8">
              <w:rPr>
                <w:rFonts w:cs="Arial"/>
                <w:szCs w:val="20"/>
              </w:rPr>
              <w:t>-0.0562</w:t>
            </w:r>
          </w:p>
        </w:tc>
        <w:tc>
          <w:tcPr>
            <w:tcW w:w="117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732641F7" w14:textId="77777777" w:rsidR="007656DA" w:rsidRPr="002B2CC8" w:rsidRDefault="007656DA" w:rsidP="00880010">
            <w:pPr>
              <w:pStyle w:val="Normaltable"/>
              <w:keepNext/>
              <w:jc w:val="center"/>
              <w:rPr>
                <w:rFonts w:cs="Arial"/>
                <w:szCs w:val="20"/>
              </w:rPr>
            </w:pPr>
            <w:r w:rsidRPr="002B2CC8">
              <w:rPr>
                <w:rFonts w:cs="Arial"/>
                <w:szCs w:val="20"/>
              </w:rPr>
              <w:t>-0.0404</w:t>
            </w:r>
          </w:p>
        </w:tc>
        <w:tc>
          <w:tcPr>
            <w:tcW w:w="113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1DBD8416" w14:textId="77777777" w:rsidR="007656DA" w:rsidRPr="002B2CC8" w:rsidRDefault="007656DA" w:rsidP="00880010">
            <w:pPr>
              <w:pStyle w:val="Normaltable"/>
              <w:keepNext/>
              <w:jc w:val="center"/>
              <w:rPr>
                <w:rFonts w:cs="Arial"/>
                <w:szCs w:val="20"/>
              </w:rPr>
            </w:pPr>
            <w:r w:rsidRPr="002B2CC8">
              <w:rPr>
                <w:rFonts w:cs="Arial"/>
                <w:szCs w:val="20"/>
              </w:rPr>
              <w:t>-0.0362</w:t>
            </w:r>
          </w:p>
        </w:tc>
        <w:tc>
          <w:tcPr>
            <w:tcW w:w="1276"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0A811471" w14:textId="77777777" w:rsidR="007656DA" w:rsidRPr="002B2CC8" w:rsidRDefault="007656DA" w:rsidP="00880010">
            <w:pPr>
              <w:pStyle w:val="Normaltable"/>
              <w:keepNext/>
              <w:jc w:val="center"/>
              <w:rPr>
                <w:rFonts w:cs="Arial"/>
                <w:szCs w:val="20"/>
              </w:rPr>
            </w:pPr>
            <w:r w:rsidRPr="002B2CC8">
              <w:rPr>
                <w:rFonts w:cs="Arial"/>
                <w:szCs w:val="20"/>
              </w:rPr>
              <w:t>-0.0212</w:t>
            </w:r>
          </w:p>
        </w:tc>
      </w:tr>
      <w:tr w:rsidR="007656DA" w:rsidRPr="002B2CC8" w14:paraId="62F419F0" w14:textId="77777777" w:rsidTr="0053604B">
        <w:trPr>
          <w:cantSplit/>
        </w:trPr>
        <w:tc>
          <w:tcPr>
            <w:tcW w:w="1276" w:type="dxa"/>
            <w:vMerge w:val="restart"/>
            <w:tcBorders>
              <w:top w:val="nil"/>
              <w:left w:val="single" w:sz="4" w:space="0" w:color="auto"/>
              <w:bottom w:val="single" w:sz="4" w:space="0" w:color="auto"/>
              <w:right w:val="single" w:sz="4" w:space="0" w:color="auto"/>
            </w:tcBorders>
            <w:vAlign w:val="center"/>
            <w:hideMark/>
          </w:tcPr>
          <w:p w14:paraId="50614DFC" w14:textId="77777777" w:rsidR="007656DA" w:rsidRPr="002B2CC8" w:rsidRDefault="007656DA" w:rsidP="00880010">
            <w:pPr>
              <w:pStyle w:val="Normaltable"/>
              <w:keepNext/>
              <w:rPr>
                <w:rFonts w:cs="Arial"/>
                <w:bCs/>
                <w:color w:val="000000"/>
                <w:szCs w:val="20"/>
              </w:rPr>
            </w:pPr>
            <w:r w:rsidRPr="002B2CC8">
              <w:rPr>
                <w:rFonts w:cs="Arial"/>
                <w:bCs/>
                <w:color w:val="000000"/>
                <w:szCs w:val="20"/>
              </w:rPr>
              <w:t>Rapid Transit</w:t>
            </w:r>
          </w:p>
        </w:tc>
        <w:tc>
          <w:tcPr>
            <w:tcW w:w="2126" w:type="dxa"/>
            <w:tcBorders>
              <w:top w:val="single" w:sz="4" w:space="0" w:color="auto"/>
              <w:left w:val="single" w:sz="4" w:space="0" w:color="auto"/>
              <w:bottom w:val="single" w:sz="4" w:space="0" w:color="BFBFBF" w:themeColor="background1" w:themeShade="BF"/>
              <w:right w:val="single" w:sz="4" w:space="0" w:color="000000" w:themeColor="text1"/>
            </w:tcBorders>
            <w:noWrap/>
            <w:vAlign w:val="center"/>
            <w:hideMark/>
          </w:tcPr>
          <w:p w14:paraId="3FF99629" w14:textId="77777777" w:rsidR="007656DA" w:rsidRPr="002B2CC8" w:rsidRDefault="007656DA" w:rsidP="00880010">
            <w:pPr>
              <w:pStyle w:val="Normaltable"/>
              <w:keepNext/>
              <w:rPr>
                <w:rFonts w:cs="Arial"/>
                <w:color w:val="000000"/>
                <w:szCs w:val="20"/>
              </w:rPr>
            </w:pPr>
            <w:r w:rsidRPr="002B2CC8">
              <w:rPr>
                <w:rFonts w:cs="Arial"/>
                <w:color w:val="000000"/>
                <w:szCs w:val="20"/>
              </w:rPr>
              <w:t>Public Transport Fare</w:t>
            </w:r>
          </w:p>
        </w:tc>
        <w:tc>
          <w:tcPr>
            <w:tcW w:w="124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noWrap/>
            <w:vAlign w:val="center"/>
            <w:hideMark/>
          </w:tcPr>
          <w:p w14:paraId="65028606" w14:textId="77777777" w:rsidR="007656DA" w:rsidRPr="002B2CC8" w:rsidRDefault="007656DA" w:rsidP="00880010">
            <w:pPr>
              <w:pStyle w:val="Normaltable"/>
              <w:keepNext/>
              <w:jc w:val="center"/>
              <w:rPr>
                <w:rFonts w:cs="Arial"/>
                <w:szCs w:val="20"/>
                <w:lang w:eastAsia="en-US"/>
              </w:rPr>
            </w:pPr>
            <w:r w:rsidRPr="002B2CC8">
              <w:rPr>
                <w:rFonts w:cs="Arial"/>
                <w:szCs w:val="20"/>
              </w:rPr>
              <w:t>-0.0491</w:t>
            </w:r>
          </w:p>
        </w:tc>
        <w:tc>
          <w:tcPr>
            <w:tcW w:w="1170"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2CDC79EF" w14:textId="77777777" w:rsidR="007656DA" w:rsidRPr="002B2CC8" w:rsidRDefault="007656DA" w:rsidP="00880010">
            <w:pPr>
              <w:pStyle w:val="Normaltable"/>
              <w:keepNext/>
              <w:jc w:val="center"/>
              <w:rPr>
                <w:rFonts w:cs="Arial"/>
                <w:szCs w:val="20"/>
              </w:rPr>
            </w:pPr>
            <w:r w:rsidRPr="002B2CC8">
              <w:rPr>
                <w:rFonts w:cs="Arial"/>
                <w:szCs w:val="20"/>
              </w:rPr>
              <w:t>-0.1196</w:t>
            </w:r>
          </w:p>
        </w:tc>
        <w:tc>
          <w:tcPr>
            <w:tcW w:w="1134"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213E92ED" w14:textId="77777777" w:rsidR="007656DA" w:rsidRPr="002B2CC8" w:rsidRDefault="007656DA" w:rsidP="00880010">
            <w:pPr>
              <w:pStyle w:val="Normaltable"/>
              <w:keepNext/>
              <w:jc w:val="center"/>
              <w:rPr>
                <w:rFonts w:cs="Arial"/>
                <w:szCs w:val="20"/>
              </w:rPr>
            </w:pPr>
            <w:r w:rsidRPr="002B2CC8">
              <w:rPr>
                <w:rFonts w:cs="Arial"/>
                <w:szCs w:val="20"/>
              </w:rPr>
              <w:t>-0.1118</w:t>
            </w:r>
          </w:p>
        </w:tc>
        <w:tc>
          <w:tcPr>
            <w:tcW w:w="1276" w:type="dxa"/>
            <w:tcBorders>
              <w:top w:val="single" w:sz="4" w:space="0" w:color="000000" w:themeColor="text1"/>
              <w:left w:val="single" w:sz="4" w:space="0" w:color="000000" w:themeColor="text1"/>
              <w:bottom w:val="single" w:sz="4" w:space="0" w:color="BFBFBF" w:themeColor="background1" w:themeShade="BF"/>
              <w:right w:val="single" w:sz="4" w:space="0" w:color="000000" w:themeColor="text1"/>
            </w:tcBorders>
            <w:vAlign w:val="center"/>
            <w:hideMark/>
          </w:tcPr>
          <w:p w14:paraId="78976469" w14:textId="77777777" w:rsidR="007656DA" w:rsidRPr="002B2CC8" w:rsidRDefault="007656DA" w:rsidP="00880010">
            <w:pPr>
              <w:pStyle w:val="Normaltable"/>
              <w:keepNext/>
              <w:jc w:val="center"/>
              <w:rPr>
                <w:rFonts w:cs="Arial"/>
                <w:szCs w:val="20"/>
              </w:rPr>
            </w:pPr>
            <w:r w:rsidRPr="002B2CC8">
              <w:rPr>
                <w:rFonts w:cs="Arial"/>
                <w:szCs w:val="20"/>
              </w:rPr>
              <w:t>-0.0560</w:t>
            </w:r>
          </w:p>
        </w:tc>
      </w:tr>
      <w:tr w:rsidR="007656DA" w:rsidRPr="002B2CC8" w14:paraId="396F11E4" w14:textId="77777777" w:rsidTr="0053604B">
        <w:trPr>
          <w:cantSplit/>
        </w:trPr>
        <w:tc>
          <w:tcPr>
            <w:tcW w:w="1276" w:type="dxa"/>
            <w:vMerge/>
            <w:tcBorders>
              <w:top w:val="nil"/>
              <w:left w:val="single" w:sz="4" w:space="0" w:color="auto"/>
              <w:bottom w:val="single" w:sz="4" w:space="0" w:color="auto"/>
              <w:right w:val="single" w:sz="4" w:space="0" w:color="auto"/>
            </w:tcBorders>
            <w:vAlign w:val="center"/>
            <w:hideMark/>
          </w:tcPr>
          <w:p w14:paraId="4993E786" w14:textId="77777777" w:rsidR="007656DA" w:rsidRPr="002B2CC8" w:rsidRDefault="007656DA" w:rsidP="00880010">
            <w:pPr>
              <w:pStyle w:val="Normaltable"/>
              <w:keepNext/>
              <w:rPr>
                <w:rFonts w:cs="Arial"/>
                <w:bCs/>
                <w:color w:val="000000"/>
                <w:szCs w:val="20"/>
                <w:lang w:eastAsia="en-AU"/>
              </w:rPr>
            </w:pPr>
          </w:p>
        </w:tc>
        <w:tc>
          <w:tcPr>
            <w:tcW w:w="2126" w:type="dxa"/>
            <w:tcBorders>
              <w:top w:val="single" w:sz="4" w:space="0" w:color="BFBFBF" w:themeColor="background1" w:themeShade="BF"/>
              <w:left w:val="single" w:sz="4" w:space="0" w:color="auto"/>
              <w:bottom w:val="single" w:sz="4" w:space="0" w:color="BFBFBF" w:themeColor="background1" w:themeShade="BF"/>
              <w:right w:val="single" w:sz="4" w:space="0" w:color="000000" w:themeColor="text1"/>
            </w:tcBorders>
            <w:noWrap/>
            <w:vAlign w:val="center"/>
            <w:hideMark/>
          </w:tcPr>
          <w:p w14:paraId="4A25E9A1" w14:textId="77777777" w:rsidR="007656DA" w:rsidRPr="002B2CC8" w:rsidRDefault="007656DA" w:rsidP="00880010">
            <w:pPr>
              <w:pStyle w:val="Normaltable"/>
              <w:keepNext/>
              <w:rPr>
                <w:rFonts w:cs="Arial"/>
                <w:color w:val="000000"/>
                <w:szCs w:val="20"/>
              </w:rPr>
            </w:pPr>
            <w:r w:rsidRPr="002B2CC8">
              <w:rPr>
                <w:rFonts w:cs="Arial"/>
                <w:color w:val="000000"/>
                <w:szCs w:val="20"/>
              </w:rPr>
              <w:t>Walk Time</w:t>
            </w:r>
          </w:p>
        </w:tc>
        <w:tc>
          <w:tcPr>
            <w:tcW w:w="124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noWrap/>
            <w:vAlign w:val="center"/>
            <w:hideMark/>
          </w:tcPr>
          <w:p w14:paraId="2B80992F" w14:textId="77777777" w:rsidR="007656DA" w:rsidRPr="002B2CC8" w:rsidRDefault="007656DA" w:rsidP="00880010">
            <w:pPr>
              <w:pStyle w:val="Normaltable"/>
              <w:keepNext/>
              <w:jc w:val="center"/>
              <w:rPr>
                <w:rFonts w:cs="Arial"/>
                <w:szCs w:val="20"/>
                <w:lang w:eastAsia="en-US"/>
              </w:rPr>
            </w:pPr>
            <w:r w:rsidRPr="002B2CC8">
              <w:rPr>
                <w:rFonts w:cs="Arial"/>
                <w:szCs w:val="20"/>
              </w:rPr>
              <w:t>-0.0171</w:t>
            </w:r>
          </w:p>
        </w:tc>
        <w:tc>
          <w:tcPr>
            <w:tcW w:w="1170"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7F8175CA" w14:textId="77777777" w:rsidR="007656DA" w:rsidRPr="002B2CC8" w:rsidRDefault="007656DA" w:rsidP="00880010">
            <w:pPr>
              <w:pStyle w:val="Normaltable"/>
              <w:keepNext/>
              <w:jc w:val="center"/>
              <w:rPr>
                <w:rFonts w:cs="Arial"/>
                <w:szCs w:val="20"/>
              </w:rPr>
            </w:pPr>
            <w:r w:rsidRPr="002B2CC8">
              <w:rPr>
                <w:rFonts w:cs="Arial"/>
                <w:szCs w:val="20"/>
              </w:rPr>
              <w:t>-0.0726</w:t>
            </w:r>
          </w:p>
        </w:tc>
        <w:tc>
          <w:tcPr>
            <w:tcW w:w="1134"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2490BECB" w14:textId="77777777" w:rsidR="007656DA" w:rsidRPr="002B2CC8" w:rsidRDefault="007656DA" w:rsidP="00880010">
            <w:pPr>
              <w:pStyle w:val="Normaltable"/>
              <w:keepNext/>
              <w:jc w:val="center"/>
              <w:rPr>
                <w:rFonts w:cs="Arial"/>
                <w:szCs w:val="20"/>
              </w:rPr>
            </w:pPr>
            <w:r w:rsidRPr="002B2CC8">
              <w:rPr>
                <w:rFonts w:cs="Arial"/>
                <w:szCs w:val="20"/>
              </w:rPr>
              <w:t>-0.1441</w:t>
            </w:r>
          </w:p>
        </w:tc>
        <w:tc>
          <w:tcPr>
            <w:tcW w:w="1276"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vAlign w:val="center"/>
            <w:hideMark/>
          </w:tcPr>
          <w:p w14:paraId="5FF447B0" w14:textId="77777777" w:rsidR="007656DA" w:rsidRPr="002B2CC8" w:rsidRDefault="007656DA" w:rsidP="00880010">
            <w:pPr>
              <w:pStyle w:val="Normaltable"/>
              <w:keepNext/>
              <w:jc w:val="center"/>
              <w:rPr>
                <w:rFonts w:cs="Arial"/>
                <w:szCs w:val="20"/>
              </w:rPr>
            </w:pPr>
            <w:r w:rsidRPr="002B2CC8">
              <w:rPr>
                <w:rFonts w:cs="Arial"/>
                <w:szCs w:val="20"/>
              </w:rPr>
              <w:t>-0.0247</w:t>
            </w:r>
          </w:p>
        </w:tc>
      </w:tr>
      <w:tr w:rsidR="007656DA" w:rsidRPr="002B2CC8" w14:paraId="64BC3045" w14:textId="77777777" w:rsidTr="0053604B">
        <w:trPr>
          <w:cantSplit/>
        </w:trPr>
        <w:tc>
          <w:tcPr>
            <w:tcW w:w="1276" w:type="dxa"/>
            <w:vMerge/>
            <w:tcBorders>
              <w:top w:val="nil"/>
              <w:left w:val="single" w:sz="4" w:space="0" w:color="auto"/>
              <w:bottom w:val="single" w:sz="4" w:space="0" w:color="auto"/>
              <w:right w:val="single" w:sz="4" w:space="0" w:color="auto"/>
            </w:tcBorders>
            <w:vAlign w:val="center"/>
            <w:hideMark/>
          </w:tcPr>
          <w:p w14:paraId="750E2154" w14:textId="77777777" w:rsidR="007656DA" w:rsidRPr="002B2CC8" w:rsidRDefault="007656DA" w:rsidP="00880010">
            <w:pPr>
              <w:pStyle w:val="Normaltable"/>
              <w:keepNext/>
              <w:rPr>
                <w:rFonts w:cs="Arial"/>
                <w:bCs/>
                <w:color w:val="000000"/>
                <w:szCs w:val="20"/>
                <w:lang w:eastAsia="en-AU"/>
              </w:rPr>
            </w:pPr>
          </w:p>
        </w:tc>
        <w:tc>
          <w:tcPr>
            <w:tcW w:w="2126" w:type="dxa"/>
            <w:tcBorders>
              <w:top w:val="single" w:sz="4" w:space="0" w:color="BFBFBF" w:themeColor="background1" w:themeShade="BF"/>
              <w:left w:val="single" w:sz="4" w:space="0" w:color="auto"/>
              <w:bottom w:val="single" w:sz="4" w:space="0" w:color="auto"/>
              <w:right w:val="single" w:sz="4" w:space="0" w:color="000000" w:themeColor="text1"/>
            </w:tcBorders>
            <w:noWrap/>
            <w:vAlign w:val="center"/>
            <w:hideMark/>
          </w:tcPr>
          <w:p w14:paraId="3A219AFD" w14:textId="77777777" w:rsidR="007656DA" w:rsidRPr="002B2CC8" w:rsidRDefault="007656DA" w:rsidP="00880010">
            <w:pPr>
              <w:pStyle w:val="Normaltable"/>
              <w:keepNext/>
              <w:rPr>
                <w:rFonts w:cs="Arial"/>
                <w:color w:val="000000"/>
                <w:szCs w:val="20"/>
              </w:rPr>
            </w:pPr>
            <w:r w:rsidRPr="002B2CC8">
              <w:rPr>
                <w:rFonts w:cs="Arial"/>
                <w:color w:val="000000"/>
                <w:szCs w:val="20"/>
              </w:rPr>
              <w:t>Travel Time</w:t>
            </w:r>
          </w:p>
        </w:tc>
        <w:tc>
          <w:tcPr>
            <w:tcW w:w="124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noWrap/>
            <w:vAlign w:val="center"/>
            <w:hideMark/>
          </w:tcPr>
          <w:p w14:paraId="36439EF9" w14:textId="77777777" w:rsidR="007656DA" w:rsidRPr="002B2CC8" w:rsidRDefault="007656DA" w:rsidP="00880010">
            <w:pPr>
              <w:pStyle w:val="Normaltable"/>
              <w:keepNext/>
              <w:jc w:val="center"/>
              <w:rPr>
                <w:rFonts w:cs="Arial"/>
                <w:szCs w:val="20"/>
                <w:lang w:eastAsia="en-US"/>
              </w:rPr>
            </w:pPr>
            <w:r w:rsidRPr="002B2CC8">
              <w:rPr>
                <w:rFonts w:cs="Arial"/>
                <w:szCs w:val="20"/>
              </w:rPr>
              <w:t>-0.0273</w:t>
            </w:r>
          </w:p>
        </w:tc>
        <w:tc>
          <w:tcPr>
            <w:tcW w:w="1170"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5B367FBC" w14:textId="77777777" w:rsidR="007656DA" w:rsidRPr="002B2CC8" w:rsidRDefault="007656DA" w:rsidP="00880010">
            <w:pPr>
              <w:pStyle w:val="Normaltable"/>
              <w:keepNext/>
              <w:jc w:val="center"/>
              <w:rPr>
                <w:rFonts w:cs="Arial"/>
                <w:szCs w:val="20"/>
              </w:rPr>
            </w:pPr>
            <w:r w:rsidRPr="002B2CC8">
              <w:rPr>
                <w:rFonts w:cs="Arial"/>
                <w:szCs w:val="20"/>
              </w:rPr>
              <w:t>-0.0359</w:t>
            </w:r>
          </w:p>
        </w:tc>
        <w:tc>
          <w:tcPr>
            <w:tcW w:w="1134"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54CF41DC" w14:textId="77777777" w:rsidR="007656DA" w:rsidRPr="002B2CC8" w:rsidRDefault="007656DA" w:rsidP="00880010">
            <w:pPr>
              <w:pStyle w:val="Normaltable"/>
              <w:keepNext/>
              <w:jc w:val="center"/>
              <w:rPr>
                <w:rFonts w:cs="Arial"/>
                <w:szCs w:val="20"/>
              </w:rPr>
            </w:pPr>
            <w:r w:rsidRPr="002B2CC8">
              <w:rPr>
                <w:rFonts w:cs="Arial"/>
                <w:szCs w:val="20"/>
              </w:rPr>
              <w:t>-0.0177</w:t>
            </w:r>
          </w:p>
        </w:tc>
        <w:tc>
          <w:tcPr>
            <w:tcW w:w="1276" w:type="dxa"/>
            <w:tcBorders>
              <w:top w:val="single" w:sz="4" w:space="0" w:color="BFBFBF" w:themeColor="background1" w:themeShade="BF"/>
              <w:left w:val="single" w:sz="4" w:space="0" w:color="000000" w:themeColor="text1"/>
              <w:bottom w:val="single" w:sz="4" w:space="0" w:color="000000" w:themeColor="text1"/>
              <w:right w:val="single" w:sz="4" w:space="0" w:color="000000" w:themeColor="text1"/>
            </w:tcBorders>
            <w:vAlign w:val="center"/>
            <w:hideMark/>
          </w:tcPr>
          <w:p w14:paraId="2E1E8AB6" w14:textId="77777777" w:rsidR="007656DA" w:rsidRPr="002B2CC8" w:rsidRDefault="007656DA" w:rsidP="00880010">
            <w:pPr>
              <w:pStyle w:val="Normaltable"/>
              <w:keepNext/>
              <w:jc w:val="center"/>
              <w:rPr>
                <w:rFonts w:cs="Arial"/>
                <w:szCs w:val="20"/>
              </w:rPr>
            </w:pPr>
            <w:r w:rsidRPr="002B2CC8">
              <w:rPr>
                <w:rFonts w:cs="Arial"/>
                <w:szCs w:val="20"/>
              </w:rPr>
              <w:t>-0.0006</w:t>
            </w:r>
          </w:p>
        </w:tc>
      </w:tr>
    </w:tbl>
    <w:p w14:paraId="74724963" w14:textId="77777777" w:rsidR="007656DA" w:rsidRDefault="007656DA" w:rsidP="00E73748">
      <w:pPr>
        <w:rPr>
          <w:szCs w:val="22"/>
        </w:rPr>
      </w:pPr>
    </w:p>
    <w:p w14:paraId="3558F406" w14:textId="14037721" w:rsidR="00A548D4" w:rsidRPr="00C047FF" w:rsidRDefault="00500E56" w:rsidP="00E73748">
      <w:pPr>
        <w:rPr>
          <w:szCs w:val="22"/>
        </w:rPr>
      </w:pPr>
      <w:r w:rsidRPr="00C047FF">
        <w:rPr>
          <w:szCs w:val="22"/>
        </w:rPr>
        <w:t>Rapid transit travel time is relatively inelastic, especially for non-routine trips where any increase in travel time will have little effect o</w:t>
      </w:r>
      <w:r w:rsidR="005F734A">
        <w:rPr>
          <w:szCs w:val="22"/>
        </w:rPr>
        <w:t>n</w:t>
      </w:r>
      <w:r w:rsidRPr="00C047FF">
        <w:rPr>
          <w:szCs w:val="22"/>
        </w:rPr>
        <w:t xml:space="preserve"> ridership. Motorcycle taxi fare has a high elasticity indicating that decreases to this have the potential to attract passengers from other modes. </w:t>
      </w:r>
      <w:r w:rsidR="00AF40B1" w:rsidRPr="00AF40B1">
        <w:rPr>
          <w:szCs w:val="22"/>
        </w:rPr>
        <w:t xml:space="preserve">The results of additional </w:t>
      </w:r>
      <w:r w:rsidR="00AF40B1">
        <w:rPr>
          <w:szCs w:val="22"/>
        </w:rPr>
        <w:t>analysis processes summarized by</w:t>
      </w:r>
      <w:r w:rsidR="00AF40B1" w:rsidRPr="00AF40B1">
        <w:rPr>
          <w:szCs w:val="22"/>
        </w:rPr>
        <w:t xml:space="preserve"> </w:t>
      </w:r>
      <w:r w:rsidR="00AF40B1">
        <w:t xml:space="preserve">Economic and Policy </w:t>
      </w:r>
      <w:r w:rsidR="00AF40B1">
        <w:lastRenderedPageBreak/>
        <w:t xml:space="preserve">Services Pty Ltd et al </w:t>
      </w:r>
      <w:r w:rsidR="00AF40B1">
        <w:rPr>
          <w:szCs w:val="22"/>
        </w:rPr>
        <w:t>(2014)</w:t>
      </w:r>
      <w:r w:rsidR="00AF40B1" w:rsidRPr="00AF40B1">
        <w:rPr>
          <w:szCs w:val="22"/>
        </w:rPr>
        <w:t xml:space="preserve"> reveals that travellers with longer journey distances by moto are more likely to change their travel choices if fuel prices rise and women are, on average, more responsive to changes in public transport travel time.</w:t>
      </w:r>
    </w:p>
    <w:p w14:paraId="1146D94A" w14:textId="6C971D8D" w:rsidR="00B6464C" w:rsidRDefault="00B6464C" w:rsidP="00B6464C">
      <w:pPr>
        <w:pStyle w:val="SectionHeadingLevel2"/>
      </w:pPr>
      <w:r>
        <w:t>4.3 Influence of Qualitative Factors on Vehicle Ownership and Travel Choice</w:t>
      </w:r>
    </w:p>
    <w:p w14:paraId="50585F5F" w14:textId="1D8D876C" w:rsidR="00B6464C" w:rsidRDefault="00B6464C" w:rsidP="00B6464C">
      <w:r>
        <w:t>Key results of the travel quality survey with regard to v</w:t>
      </w:r>
      <w:r w:rsidRPr="00B6464C">
        <w:t xml:space="preserve">ehicle </w:t>
      </w:r>
      <w:r>
        <w:t>o</w:t>
      </w:r>
      <w:r w:rsidRPr="00B6464C">
        <w:t xml:space="preserve">wnership and </w:t>
      </w:r>
      <w:r>
        <w:t>t</w:t>
      </w:r>
      <w:r w:rsidRPr="00B6464C">
        <w:t xml:space="preserve">ravel </w:t>
      </w:r>
      <w:r>
        <w:t>c</w:t>
      </w:r>
      <w:r w:rsidRPr="00B6464C">
        <w:t xml:space="preserve">hoice </w:t>
      </w:r>
      <w:r>
        <w:t xml:space="preserve">are shown in Tables </w:t>
      </w:r>
      <w:r w:rsidR="004B0A40">
        <w:t>4</w:t>
      </w:r>
      <w:r>
        <w:t xml:space="preserve"> and </w:t>
      </w:r>
      <w:r w:rsidR="004B0A40">
        <w:t>5</w:t>
      </w:r>
      <w:r>
        <w:t xml:space="preserve"> respectively. Consistent with the high accident rate, respondents consistently ranked safety features as matters that strongly influenced their decisions with regard to vehicle ownership and also for vehicle use. Notably, bus users also ranked personal security as their most serious concern with regard to trip making. Bus use also attracts a range of other concerns, in particular travel time, flexibility, personal space and reliability.</w:t>
      </w:r>
    </w:p>
    <w:p w14:paraId="459C36EE" w14:textId="06851B8D" w:rsidR="004B0A40" w:rsidRDefault="004B0A40" w:rsidP="00B6464C">
      <w:r>
        <w:t>Also of particular note is that people purchasing electric scooters and bicycles rate the capital cost of these vehicles as a matter affecting vehicle purchase choices: given a limited number of electric scooters, this is likely to reflect the low income of the people involved. In a similar manner, people who are likely to purchase motorcycles are more concerned about vehicle and fuel cost than car purchasers. The high level of concern for fuel cost by electric scooter and bicycle users indicates the importance of this factor in favour of a vehicle that does not use gasoline.</w:t>
      </w:r>
    </w:p>
    <w:p w14:paraId="2DB45EC1" w14:textId="16AFECA0" w:rsidR="007656DA" w:rsidRDefault="007656DA" w:rsidP="007656DA">
      <w:pPr>
        <w:pStyle w:val="Captionstyle"/>
        <w:keepNext/>
      </w:pPr>
      <w:r>
        <w:t xml:space="preserve">Table 4: Importance of </w:t>
      </w:r>
      <w:r w:rsidR="004B0A40">
        <w:t>q</w:t>
      </w:r>
      <w:r>
        <w:t xml:space="preserve">uality </w:t>
      </w:r>
      <w:r w:rsidR="004B0A40">
        <w:t>f</w:t>
      </w:r>
      <w:r>
        <w:t xml:space="preserve">actors for </w:t>
      </w:r>
      <w:r w:rsidR="004B0A40">
        <w:t>v</w:t>
      </w:r>
      <w:r>
        <w:t xml:space="preserve">ehicle </w:t>
      </w:r>
      <w:r w:rsidR="004B0A40">
        <w:t>o</w:t>
      </w:r>
      <w:r>
        <w:t>wnership</w:t>
      </w:r>
    </w:p>
    <w:tbl>
      <w:tblPr>
        <w:tblW w:w="5000" w:type="pct"/>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8" w:type="dxa"/>
          <w:left w:w="57" w:type="dxa"/>
          <w:bottom w:w="28" w:type="dxa"/>
          <w:right w:w="57" w:type="dxa"/>
        </w:tblCellMar>
        <w:tblLook w:val="04A0" w:firstRow="1" w:lastRow="0" w:firstColumn="1" w:lastColumn="0" w:noHBand="0" w:noVBand="1"/>
      </w:tblPr>
      <w:tblGrid>
        <w:gridCol w:w="2620"/>
        <w:gridCol w:w="1024"/>
        <w:gridCol w:w="1024"/>
        <w:gridCol w:w="1024"/>
        <w:gridCol w:w="1123"/>
        <w:gridCol w:w="1123"/>
        <w:gridCol w:w="1123"/>
      </w:tblGrid>
      <w:tr w:rsidR="007656DA" w:rsidRPr="000A2328" w14:paraId="65C39696" w14:textId="77777777" w:rsidTr="00880010">
        <w:tc>
          <w:tcPr>
            <w:tcW w:w="2537" w:type="dxa"/>
            <w:vMerge w:val="restart"/>
            <w:shd w:val="clear" w:color="auto" w:fill="auto"/>
            <w:noWrap/>
          </w:tcPr>
          <w:p w14:paraId="7BA3D3F9" w14:textId="77777777" w:rsidR="007656DA" w:rsidRPr="00A02AA1" w:rsidRDefault="007656DA" w:rsidP="00880010">
            <w:pPr>
              <w:pStyle w:val="Normaltable"/>
              <w:keepNext/>
              <w:rPr>
                <w:rFonts w:cs="Arial"/>
                <w:b/>
                <w:szCs w:val="20"/>
                <w:lang w:eastAsia="en-AU"/>
              </w:rPr>
            </w:pPr>
            <w:r w:rsidRPr="00A02AA1">
              <w:rPr>
                <w:rFonts w:cs="Arial"/>
                <w:b/>
                <w:szCs w:val="20"/>
                <w:lang w:eastAsia="en-AU"/>
              </w:rPr>
              <w:t>Factor</w:t>
            </w:r>
          </w:p>
        </w:tc>
        <w:tc>
          <w:tcPr>
            <w:tcW w:w="6237" w:type="dxa"/>
            <w:gridSpan w:val="6"/>
            <w:tcBorders>
              <w:bottom w:val="single" w:sz="4" w:space="0" w:color="000000" w:themeColor="text1"/>
            </w:tcBorders>
            <w:shd w:val="clear" w:color="auto" w:fill="auto"/>
            <w:noWrap/>
            <w:tcMar>
              <w:left w:w="28" w:type="dxa"/>
              <w:right w:w="28" w:type="dxa"/>
            </w:tcMar>
          </w:tcPr>
          <w:p w14:paraId="5707EAB2" w14:textId="77777777" w:rsidR="007656DA" w:rsidRPr="00A02AA1" w:rsidRDefault="007656DA" w:rsidP="00880010">
            <w:pPr>
              <w:pStyle w:val="Normaltable"/>
              <w:keepNext/>
              <w:jc w:val="center"/>
              <w:rPr>
                <w:rFonts w:cs="Arial"/>
                <w:b/>
                <w:color w:val="000000"/>
                <w:szCs w:val="20"/>
              </w:rPr>
            </w:pPr>
            <w:r w:rsidRPr="00A02AA1">
              <w:rPr>
                <w:rFonts w:cs="Arial"/>
                <w:b/>
                <w:szCs w:val="20"/>
                <w:lang w:eastAsia="en-AU"/>
              </w:rPr>
              <w:t>1=not important, 5=important</w:t>
            </w:r>
          </w:p>
        </w:tc>
      </w:tr>
      <w:tr w:rsidR="007656DA" w:rsidRPr="000A2328" w14:paraId="5F6732D7" w14:textId="77777777" w:rsidTr="00880010">
        <w:tc>
          <w:tcPr>
            <w:tcW w:w="2537" w:type="dxa"/>
            <w:vMerge/>
            <w:shd w:val="clear" w:color="auto" w:fill="auto"/>
            <w:noWrap/>
          </w:tcPr>
          <w:p w14:paraId="1B74F639" w14:textId="77777777" w:rsidR="007656DA" w:rsidRPr="00A02AA1" w:rsidRDefault="007656DA" w:rsidP="00880010">
            <w:pPr>
              <w:pStyle w:val="Normaltable"/>
              <w:keepNext/>
              <w:rPr>
                <w:rFonts w:cs="Arial"/>
                <w:b/>
                <w:szCs w:val="20"/>
                <w:lang w:eastAsia="en-AU"/>
              </w:rPr>
            </w:pPr>
          </w:p>
        </w:tc>
        <w:tc>
          <w:tcPr>
            <w:tcW w:w="1984" w:type="dxa"/>
            <w:gridSpan w:val="2"/>
            <w:tcBorders>
              <w:bottom w:val="single" w:sz="4" w:space="0" w:color="000000" w:themeColor="text1"/>
            </w:tcBorders>
            <w:shd w:val="clear" w:color="auto" w:fill="auto"/>
            <w:noWrap/>
            <w:tcMar>
              <w:left w:w="28" w:type="dxa"/>
              <w:right w:w="28" w:type="dxa"/>
            </w:tcMar>
          </w:tcPr>
          <w:p w14:paraId="7116BA9A" w14:textId="77777777" w:rsidR="007656DA" w:rsidRPr="00A02AA1" w:rsidRDefault="007656DA" w:rsidP="00880010">
            <w:pPr>
              <w:pStyle w:val="Normaltable"/>
              <w:keepNext/>
              <w:jc w:val="center"/>
              <w:rPr>
                <w:rFonts w:cs="Arial"/>
                <w:b/>
                <w:color w:val="000000"/>
                <w:szCs w:val="20"/>
              </w:rPr>
            </w:pPr>
            <w:r w:rsidRPr="00A02AA1">
              <w:rPr>
                <w:rFonts w:cs="Arial"/>
                <w:b/>
                <w:color w:val="000000"/>
                <w:szCs w:val="20"/>
              </w:rPr>
              <w:t>Primarily a car user (N=54)</w:t>
            </w:r>
          </w:p>
        </w:tc>
        <w:tc>
          <w:tcPr>
            <w:tcW w:w="2079" w:type="dxa"/>
            <w:gridSpan w:val="2"/>
            <w:shd w:val="clear" w:color="auto" w:fill="auto"/>
            <w:noWrap/>
            <w:tcMar>
              <w:left w:w="28" w:type="dxa"/>
              <w:right w:w="28" w:type="dxa"/>
            </w:tcMar>
          </w:tcPr>
          <w:p w14:paraId="1001943E" w14:textId="77777777" w:rsidR="007656DA" w:rsidRPr="00A02AA1" w:rsidRDefault="007656DA" w:rsidP="00880010">
            <w:pPr>
              <w:pStyle w:val="Normaltable"/>
              <w:keepNext/>
              <w:jc w:val="center"/>
              <w:rPr>
                <w:rFonts w:cs="Arial"/>
                <w:b/>
                <w:color w:val="000000"/>
                <w:szCs w:val="20"/>
              </w:rPr>
            </w:pPr>
            <w:r w:rsidRPr="00A02AA1">
              <w:rPr>
                <w:rFonts w:cs="Arial"/>
                <w:b/>
                <w:color w:val="000000"/>
                <w:szCs w:val="20"/>
              </w:rPr>
              <w:t>Primarily a motorcycle user (N=947)</w:t>
            </w:r>
          </w:p>
        </w:tc>
        <w:tc>
          <w:tcPr>
            <w:tcW w:w="2174" w:type="dxa"/>
            <w:gridSpan w:val="2"/>
            <w:shd w:val="clear" w:color="auto" w:fill="auto"/>
          </w:tcPr>
          <w:p w14:paraId="27A0D063" w14:textId="77777777" w:rsidR="007656DA" w:rsidRPr="00A02AA1" w:rsidRDefault="007656DA" w:rsidP="00880010">
            <w:pPr>
              <w:pStyle w:val="Normaltable"/>
              <w:keepNext/>
              <w:jc w:val="center"/>
              <w:rPr>
                <w:rFonts w:cs="Arial"/>
                <w:b/>
                <w:color w:val="000000"/>
                <w:szCs w:val="20"/>
              </w:rPr>
            </w:pPr>
            <w:r w:rsidRPr="00A02AA1">
              <w:rPr>
                <w:rFonts w:cs="Arial"/>
                <w:b/>
                <w:color w:val="000000"/>
                <w:szCs w:val="20"/>
              </w:rPr>
              <w:t>Primarily an electric scooter or bicycle user (N=128)</w:t>
            </w:r>
          </w:p>
        </w:tc>
      </w:tr>
      <w:tr w:rsidR="007656DA" w:rsidRPr="000A2328" w14:paraId="35A669F5" w14:textId="77777777" w:rsidTr="00880010">
        <w:tc>
          <w:tcPr>
            <w:tcW w:w="2537" w:type="dxa"/>
            <w:vMerge/>
            <w:tcBorders>
              <w:bottom w:val="single" w:sz="4" w:space="0" w:color="000000" w:themeColor="text1"/>
            </w:tcBorders>
            <w:shd w:val="clear" w:color="auto" w:fill="auto"/>
            <w:noWrap/>
            <w:hideMark/>
          </w:tcPr>
          <w:p w14:paraId="151649E2" w14:textId="77777777" w:rsidR="007656DA" w:rsidRPr="00A02AA1" w:rsidRDefault="007656DA" w:rsidP="00880010">
            <w:pPr>
              <w:pStyle w:val="Normaltable"/>
              <w:keepNext/>
              <w:rPr>
                <w:rFonts w:cs="Arial"/>
                <w:b/>
                <w:szCs w:val="20"/>
                <w:lang w:eastAsia="en-AU"/>
              </w:rPr>
            </w:pPr>
          </w:p>
        </w:tc>
        <w:tc>
          <w:tcPr>
            <w:tcW w:w="992" w:type="dxa"/>
            <w:tcBorders>
              <w:bottom w:val="single" w:sz="4" w:space="0" w:color="000000" w:themeColor="text1"/>
            </w:tcBorders>
            <w:shd w:val="clear" w:color="auto" w:fill="auto"/>
            <w:noWrap/>
            <w:tcMar>
              <w:left w:w="28" w:type="dxa"/>
              <w:right w:w="28" w:type="dxa"/>
            </w:tcMar>
          </w:tcPr>
          <w:p w14:paraId="131D2C89" w14:textId="77777777" w:rsidR="007656DA" w:rsidRPr="00A02AA1" w:rsidRDefault="007656DA" w:rsidP="00880010">
            <w:pPr>
              <w:pStyle w:val="Normaltable"/>
              <w:keepNext/>
              <w:jc w:val="center"/>
              <w:rPr>
                <w:rFonts w:cs="Arial"/>
                <w:b/>
                <w:color w:val="000000"/>
                <w:szCs w:val="20"/>
                <w:lang w:eastAsia="en-AU"/>
              </w:rPr>
            </w:pPr>
            <w:r w:rsidRPr="00A02AA1">
              <w:rPr>
                <w:rFonts w:cs="Arial"/>
                <w:b/>
                <w:color w:val="000000"/>
                <w:szCs w:val="20"/>
              </w:rPr>
              <w:t>Mean</w:t>
            </w:r>
          </w:p>
        </w:tc>
        <w:tc>
          <w:tcPr>
            <w:tcW w:w="992" w:type="dxa"/>
            <w:tcBorders>
              <w:bottom w:val="single" w:sz="4" w:space="0" w:color="000000" w:themeColor="text1"/>
            </w:tcBorders>
          </w:tcPr>
          <w:p w14:paraId="6142378B" w14:textId="77777777" w:rsidR="007656DA" w:rsidRPr="0053604B" w:rsidRDefault="007656DA" w:rsidP="00880010">
            <w:pPr>
              <w:pStyle w:val="Normaltable"/>
              <w:keepNext/>
              <w:jc w:val="center"/>
              <w:rPr>
                <w:rFonts w:cs="Arial"/>
                <w:b/>
                <w:i/>
                <w:color w:val="000000"/>
                <w:szCs w:val="20"/>
              </w:rPr>
            </w:pPr>
            <w:r w:rsidRPr="0053604B">
              <w:rPr>
                <w:rFonts w:cs="Arial"/>
                <w:b/>
                <w:i/>
                <w:color w:val="000000"/>
                <w:szCs w:val="20"/>
              </w:rPr>
              <w:t>Coeffi</w:t>
            </w:r>
            <w:r w:rsidRPr="0053604B">
              <w:rPr>
                <w:rFonts w:cs="Arial"/>
                <w:b/>
                <w:i/>
                <w:color w:val="000000"/>
                <w:szCs w:val="20"/>
              </w:rPr>
              <w:softHyphen/>
              <w:t>cient of Variation</w:t>
            </w:r>
          </w:p>
        </w:tc>
        <w:tc>
          <w:tcPr>
            <w:tcW w:w="992" w:type="dxa"/>
            <w:tcBorders>
              <w:bottom w:val="single" w:sz="4" w:space="0" w:color="000000" w:themeColor="text1"/>
            </w:tcBorders>
            <w:shd w:val="clear" w:color="auto" w:fill="auto"/>
            <w:noWrap/>
            <w:tcMar>
              <w:left w:w="28" w:type="dxa"/>
              <w:right w:w="28" w:type="dxa"/>
            </w:tcMar>
          </w:tcPr>
          <w:p w14:paraId="4459BD0B" w14:textId="77777777" w:rsidR="007656DA" w:rsidRPr="00A02AA1" w:rsidRDefault="007656DA" w:rsidP="00880010">
            <w:pPr>
              <w:pStyle w:val="Normaltable"/>
              <w:keepNext/>
              <w:jc w:val="center"/>
              <w:rPr>
                <w:rFonts w:cs="Arial"/>
                <w:b/>
                <w:color w:val="000000"/>
                <w:szCs w:val="20"/>
                <w:lang w:eastAsia="en-AU"/>
              </w:rPr>
            </w:pPr>
            <w:r w:rsidRPr="00A02AA1">
              <w:rPr>
                <w:rFonts w:cs="Arial"/>
                <w:b/>
                <w:color w:val="000000"/>
                <w:szCs w:val="20"/>
              </w:rPr>
              <w:t>Mean</w:t>
            </w:r>
          </w:p>
        </w:tc>
        <w:tc>
          <w:tcPr>
            <w:tcW w:w="1087" w:type="dxa"/>
            <w:tcBorders>
              <w:bottom w:val="single" w:sz="4" w:space="0" w:color="000000" w:themeColor="text1"/>
            </w:tcBorders>
            <w:shd w:val="clear" w:color="auto" w:fill="auto"/>
          </w:tcPr>
          <w:p w14:paraId="41B617E7" w14:textId="77777777" w:rsidR="007656DA" w:rsidRPr="0053604B" w:rsidRDefault="007656DA" w:rsidP="00880010">
            <w:pPr>
              <w:pStyle w:val="Normaltable"/>
              <w:keepNext/>
              <w:jc w:val="center"/>
              <w:rPr>
                <w:rFonts w:cs="Arial"/>
                <w:b/>
                <w:i/>
                <w:color w:val="000000"/>
                <w:szCs w:val="20"/>
              </w:rPr>
            </w:pPr>
            <w:r w:rsidRPr="0053604B">
              <w:rPr>
                <w:rFonts w:cs="Arial"/>
                <w:b/>
                <w:i/>
                <w:color w:val="000000"/>
                <w:szCs w:val="20"/>
              </w:rPr>
              <w:t>Coeffi</w:t>
            </w:r>
            <w:r w:rsidRPr="0053604B">
              <w:rPr>
                <w:rFonts w:cs="Arial"/>
                <w:b/>
                <w:i/>
                <w:color w:val="000000"/>
                <w:szCs w:val="20"/>
              </w:rPr>
              <w:softHyphen/>
              <w:t>cient of Variation</w:t>
            </w:r>
          </w:p>
        </w:tc>
        <w:tc>
          <w:tcPr>
            <w:tcW w:w="1087" w:type="dxa"/>
            <w:tcBorders>
              <w:bottom w:val="single" w:sz="4" w:space="0" w:color="000000" w:themeColor="text1"/>
            </w:tcBorders>
            <w:shd w:val="clear" w:color="auto" w:fill="auto"/>
          </w:tcPr>
          <w:p w14:paraId="01BFC8A5" w14:textId="77777777" w:rsidR="007656DA" w:rsidRPr="00A02AA1" w:rsidRDefault="007656DA" w:rsidP="00880010">
            <w:pPr>
              <w:pStyle w:val="Normaltable"/>
              <w:keepNext/>
              <w:jc w:val="center"/>
              <w:rPr>
                <w:rFonts w:cs="Arial"/>
                <w:b/>
                <w:color w:val="000000"/>
                <w:szCs w:val="20"/>
                <w:lang w:eastAsia="en-AU"/>
              </w:rPr>
            </w:pPr>
            <w:r w:rsidRPr="00A02AA1">
              <w:rPr>
                <w:rFonts w:cs="Arial"/>
                <w:b/>
                <w:color w:val="000000"/>
                <w:szCs w:val="20"/>
              </w:rPr>
              <w:t>Mean</w:t>
            </w:r>
          </w:p>
        </w:tc>
        <w:tc>
          <w:tcPr>
            <w:tcW w:w="1087" w:type="dxa"/>
            <w:tcBorders>
              <w:bottom w:val="single" w:sz="4" w:space="0" w:color="000000" w:themeColor="text1"/>
            </w:tcBorders>
            <w:shd w:val="clear" w:color="auto" w:fill="auto"/>
          </w:tcPr>
          <w:p w14:paraId="35811F9C" w14:textId="77777777" w:rsidR="007656DA" w:rsidRPr="0053604B" w:rsidRDefault="007656DA" w:rsidP="00880010">
            <w:pPr>
              <w:pStyle w:val="Normaltable"/>
              <w:keepNext/>
              <w:jc w:val="center"/>
              <w:rPr>
                <w:rFonts w:cs="Arial"/>
                <w:b/>
                <w:i/>
                <w:color w:val="000000"/>
                <w:szCs w:val="20"/>
              </w:rPr>
            </w:pPr>
            <w:r w:rsidRPr="0053604B">
              <w:rPr>
                <w:rFonts w:cs="Arial"/>
                <w:b/>
                <w:i/>
                <w:color w:val="000000"/>
                <w:szCs w:val="20"/>
              </w:rPr>
              <w:t>Coeffi</w:t>
            </w:r>
            <w:r w:rsidRPr="0053604B">
              <w:rPr>
                <w:rFonts w:cs="Arial"/>
                <w:b/>
                <w:i/>
                <w:color w:val="000000"/>
                <w:szCs w:val="20"/>
              </w:rPr>
              <w:softHyphen/>
              <w:t>cient of Variation</w:t>
            </w:r>
          </w:p>
        </w:tc>
      </w:tr>
      <w:tr w:rsidR="007656DA" w:rsidRPr="007656DA" w14:paraId="5593ADAC" w14:textId="77777777" w:rsidTr="00880010">
        <w:tc>
          <w:tcPr>
            <w:tcW w:w="2537" w:type="dxa"/>
            <w:tcBorders>
              <w:bottom w:val="single" w:sz="4" w:space="0" w:color="BFBFBF" w:themeColor="background1" w:themeShade="BF"/>
            </w:tcBorders>
            <w:shd w:val="clear" w:color="auto" w:fill="auto"/>
            <w:vAlign w:val="center"/>
            <w:hideMark/>
          </w:tcPr>
          <w:p w14:paraId="4C3BB505"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Cost of vehicle purchase</w:t>
            </w:r>
          </w:p>
        </w:tc>
        <w:tc>
          <w:tcPr>
            <w:tcW w:w="992" w:type="dxa"/>
            <w:tcBorders>
              <w:bottom w:val="single" w:sz="4" w:space="0" w:color="BFBFBF" w:themeColor="background1" w:themeShade="BF"/>
              <w:right w:val="single" w:sz="4" w:space="0" w:color="BFBFBF" w:themeColor="background1" w:themeShade="BF"/>
            </w:tcBorders>
            <w:shd w:val="clear" w:color="auto" w:fill="auto"/>
            <w:noWrap/>
            <w:vAlign w:val="bottom"/>
          </w:tcPr>
          <w:p w14:paraId="299C5291" w14:textId="77777777" w:rsidR="007656DA" w:rsidRPr="007656DA" w:rsidRDefault="007656DA" w:rsidP="00880010">
            <w:pPr>
              <w:pStyle w:val="Normaltable"/>
              <w:keepNext/>
              <w:jc w:val="center"/>
              <w:rPr>
                <w:rFonts w:cs="Arial"/>
                <w:szCs w:val="20"/>
                <w:lang w:eastAsia="en-AU"/>
              </w:rPr>
            </w:pPr>
            <w:r w:rsidRPr="007656DA">
              <w:rPr>
                <w:rFonts w:cs="Arial"/>
                <w:szCs w:val="20"/>
              </w:rPr>
              <w:t>2.7</w:t>
            </w:r>
          </w:p>
        </w:tc>
        <w:tc>
          <w:tcPr>
            <w:tcW w:w="992" w:type="dxa"/>
            <w:tcBorders>
              <w:left w:val="single" w:sz="4" w:space="0" w:color="BFBFBF" w:themeColor="background1" w:themeShade="BF"/>
              <w:bottom w:val="single" w:sz="4" w:space="0" w:color="BFBFBF" w:themeColor="background1" w:themeShade="BF"/>
              <w:right w:val="single" w:sz="4" w:space="0" w:color="000000" w:themeColor="text1"/>
            </w:tcBorders>
          </w:tcPr>
          <w:p w14:paraId="6D183EAB" w14:textId="77777777" w:rsidR="007656DA" w:rsidRPr="0053604B" w:rsidRDefault="007656DA" w:rsidP="00880010">
            <w:pPr>
              <w:pStyle w:val="Normaltable"/>
              <w:keepNext/>
              <w:jc w:val="center"/>
              <w:rPr>
                <w:rFonts w:cs="Arial"/>
                <w:i/>
                <w:szCs w:val="20"/>
              </w:rPr>
            </w:pPr>
            <w:r w:rsidRPr="0053604B">
              <w:rPr>
                <w:rFonts w:cs="Arial"/>
                <w:i/>
                <w:szCs w:val="20"/>
              </w:rPr>
              <w:t>0.51</w:t>
            </w:r>
          </w:p>
        </w:tc>
        <w:tc>
          <w:tcPr>
            <w:tcW w:w="992" w:type="dxa"/>
            <w:tcBorders>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56291696" w14:textId="77777777" w:rsidR="007656DA" w:rsidRPr="007656DA" w:rsidRDefault="007656DA" w:rsidP="00880010">
            <w:pPr>
              <w:pStyle w:val="Normaltable"/>
              <w:keepNext/>
              <w:jc w:val="center"/>
              <w:rPr>
                <w:rFonts w:cs="Arial"/>
                <w:szCs w:val="20"/>
              </w:rPr>
            </w:pPr>
            <w:r w:rsidRPr="007656DA">
              <w:rPr>
                <w:rFonts w:cs="Arial"/>
                <w:szCs w:val="20"/>
              </w:rPr>
              <w:t>3.6</w:t>
            </w:r>
          </w:p>
        </w:tc>
        <w:tc>
          <w:tcPr>
            <w:tcW w:w="1087" w:type="dxa"/>
            <w:tcBorders>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01546B10" w14:textId="77777777" w:rsidR="007656DA" w:rsidRPr="0053604B" w:rsidRDefault="007656DA" w:rsidP="00880010">
            <w:pPr>
              <w:keepNext/>
              <w:spacing w:after="0"/>
              <w:jc w:val="center"/>
              <w:rPr>
                <w:rFonts w:eastAsia="Batang" w:cs="Arial"/>
                <w:i/>
                <w:sz w:val="20"/>
              </w:rPr>
            </w:pPr>
            <w:r w:rsidRPr="0053604B">
              <w:rPr>
                <w:rFonts w:eastAsia="Batang" w:cs="Arial"/>
                <w:i/>
                <w:sz w:val="20"/>
              </w:rPr>
              <w:t>0.34</w:t>
            </w:r>
          </w:p>
        </w:tc>
        <w:tc>
          <w:tcPr>
            <w:tcW w:w="1087" w:type="dxa"/>
            <w:tcBorders>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1E9BEDE0" w14:textId="77777777" w:rsidR="007656DA" w:rsidRPr="007656DA" w:rsidRDefault="007656DA" w:rsidP="00880010">
            <w:pPr>
              <w:pStyle w:val="Normaltable"/>
              <w:keepNext/>
              <w:jc w:val="center"/>
              <w:rPr>
                <w:rFonts w:cs="Arial"/>
                <w:szCs w:val="20"/>
              </w:rPr>
            </w:pPr>
            <w:r w:rsidRPr="007656DA">
              <w:rPr>
                <w:rFonts w:cs="Arial"/>
                <w:szCs w:val="20"/>
              </w:rPr>
              <w:t>4.1</w:t>
            </w:r>
          </w:p>
        </w:tc>
        <w:tc>
          <w:tcPr>
            <w:tcW w:w="1087" w:type="dxa"/>
            <w:tcBorders>
              <w:left w:val="single" w:sz="4" w:space="0" w:color="BFBFBF" w:themeColor="background1" w:themeShade="BF"/>
              <w:bottom w:val="single" w:sz="4" w:space="0" w:color="BFBFBF" w:themeColor="background1" w:themeShade="BF"/>
            </w:tcBorders>
            <w:shd w:val="clear" w:color="auto" w:fill="auto"/>
            <w:vAlign w:val="center"/>
          </w:tcPr>
          <w:p w14:paraId="5F017288" w14:textId="77777777" w:rsidR="007656DA" w:rsidRPr="0053604B" w:rsidRDefault="007656DA" w:rsidP="00880010">
            <w:pPr>
              <w:keepNext/>
              <w:spacing w:after="0"/>
              <w:jc w:val="center"/>
              <w:rPr>
                <w:rFonts w:eastAsia="Batang" w:cs="Arial"/>
                <w:i/>
                <w:sz w:val="20"/>
              </w:rPr>
            </w:pPr>
            <w:r w:rsidRPr="0053604B">
              <w:rPr>
                <w:rFonts w:eastAsia="Batang" w:cs="Arial"/>
                <w:i/>
                <w:sz w:val="20"/>
              </w:rPr>
              <w:t>0.23</w:t>
            </w:r>
          </w:p>
        </w:tc>
      </w:tr>
      <w:tr w:rsidR="007656DA" w:rsidRPr="007656DA" w14:paraId="2B092D17" w14:textId="77777777" w:rsidTr="00880010">
        <w:tc>
          <w:tcPr>
            <w:tcW w:w="2537" w:type="dxa"/>
            <w:tcBorders>
              <w:top w:val="single" w:sz="4" w:space="0" w:color="BFBFBF" w:themeColor="background1" w:themeShade="BF"/>
              <w:bottom w:val="single" w:sz="4" w:space="0" w:color="BFBFBF" w:themeColor="background1" w:themeShade="BF"/>
            </w:tcBorders>
            <w:shd w:val="clear" w:color="auto" w:fill="auto"/>
            <w:vAlign w:val="center"/>
            <w:hideMark/>
          </w:tcPr>
          <w:p w14:paraId="1D7A94F9"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Registration fee</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02B1E71B" w14:textId="77777777" w:rsidR="007656DA" w:rsidRPr="007656DA" w:rsidRDefault="007656DA" w:rsidP="00880010">
            <w:pPr>
              <w:pStyle w:val="Normaltable"/>
              <w:keepNext/>
              <w:jc w:val="center"/>
              <w:rPr>
                <w:rFonts w:cs="Arial"/>
                <w:szCs w:val="20"/>
              </w:rPr>
            </w:pPr>
            <w:r w:rsidRPr="007656DA">
              <w:rPr>
                <w:rFonts w:cs="Arial"/>
                <w:szCs w:val="20"/>
              </w:rPr>
              <w:t>1.9</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7DFBB7B1" w14:textId="77777777" w:rsidR="007656DA" w:rsidRPr="0053604B" w:rsidRDefault="007656DA" w:rsidP="00880010">
            <w:pPr>
              <w:pStyle w:val="Normaltable"/>
              <w:keepNext/>
              <w:jc w:val="center"/>
              <w:rPr>
                <w:rFonts w:cs="Arial"/>
                <w:i/>
                <w:szCs w:val="20"/>
              </w:rPr>
            </w:pPr>
            <w:r w:rsidRPr="0053604B">
              <w:rPr>
                <w:rFonts w:cs="Arial"/>
                <w:i/>
                <w:szCs w:val="20"/>
              </w:rPr>
              <w:t>0.47</w:t>
            </w:r>
          </w:p>
        </w:tc>
        <w:tc>
          <w:tcPr>
            <w:tcW w:w="9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3CC30D0B" w14:textId="77777777" w:rsidR="007656DA" w:rsidRPr="007656DA" w:rsidRDefault="007656DA" w:rsidP="00880010">
            <w:pPr>
              <w:pStyle w:val="Normaltable"/>
              <w:keepNext/>
              <w:jc w:val="center"/>
              <w:rPr>
                <w:rFonts w:cs="Arial"/>
                <w:szCs w:val="20"/>
              </w:rPr>
            </w:pPr>
            <w:r w:rsidRPr="007656DA">
              <w:rPr>
                <w:rFonts w:cs="Arial"/>
                <w:szCs w:val="20"/>
              </w:rPr>
              <w:t>2.5</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21D846A0" w14:textId="77777777" w:rsidR="007656DA" w:rsidRPr="0053604B" w:rsidRDefault="007656DA" w:rsidP="00880010">
            <w:pPr>
              <w:keepNext/>
              <w:spacing w:after="0"/>
              <w:jc w:val="center"/>
              <w:rPr>
                <w:rFonts w:eastAsia="Batang" w:cs="Arial"/>
                <w:i/>
                <w:sz w:val="20"/>
              </w:rPr>
            </w:pPr>
            <w:r w:rsidRPr="0053604B">
              <w:rPr>
                <w:rFonts w:eastAsia="Batang" w:cs="Arial"/>
                <w:i/>
                <w:sz w:val="20"/>
              </w:rPr>
              <w:t>0.44</w:t>
            </w:r>
          </w:p>
        </w:tc>
        <w:tc>
          <w:tcPr>
            <w:tcW w:w="10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011A239F" w14:textId="77777777" w:rsidR="007656DA" w:rsidRPr="007656DA" w:rsidRDefault="007656DA" w:rsidP="00880010">
            <w:pPr>
              <w:pStyle w:val="Normaltable"/>
              <w:keepNext/>
              <w:jc w:val="center"/>
              <w:rPr>
                <w:rFonts w:cs="Arial"/>
                <w:szCs w:val="20"/>
              </w:rPr>
            </w:pPr>
            <w:r w:rsidRPr="007656DA">
              <w:rPr>
                <w:rFonts w:cs="Arial"/>
                <w:szCs w:val="20"/>
              </w:rPr>
              <w:t>2.9</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62D546C7" w14:textId="77777777" w:rsidR="007656DA" w:rsidRPr="0053604B" w:rsidRDefault="007656DA" w:rsidP="00880010">
            <w:pPr>
              <w:keepNext/>
              <w:spacing w:after="0"/>
              <w:jc w:val="center"/>
              <w:rPr>
                <w:rFonts w:eastAsia="Batang" w:cs="Arial"/>
                <w:i/>
                <w:sz w:val="20"/>
              </w:rPr>
            </w:pPr>
            <w:r w:rsidRPr="0053604B">
              <w:rPr>
                <w:rFonts w:eastAsia="Batang" w:cs="Arial"/>
                <w:i/>
                <w:sz w:val="20"/>
              </w:rPr>
              <w:t>0.35</w:t>
            </w:r>
          </w:p>
        </w:tc>
      </w:tr>
      <w:tr w:rsidR="007656DA" w:rsidRPr="007656DA" w14:paraId="3A9EDA6A" w14:textId="77777777" w:rsidTr="00880010">
        <w:tc>
          <w:tcPr>
            <w:tcW w:w="2537" w:type="dxa"/>
            <w:tcBorders>
              <w:top w:val="single" w:sz="4" w:space="0" w:color="BFBFBF" w:themeColor="background1" w:themeShade="BF"/>
              <w:bottom w:val="single" w:sz="4" w:space="0" w:color="BFBFBF" w:themeColor="background1" w:themeShade="BF"/>
            </w:tcBorders>
            <w:shd w:val="clear" w:color="auto" w:fill="auto"/>
            <w:vAlign w:val="center"/>
          </w:tcPr>
          <w:p w14:paraId="1A13A6C5"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Road maintenance fee</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7EF19E1E" w14:textId="77777777" w:rsidR="007656DA" w:rsidRPr="007656DA" w:rsidRDefault="007656DA" w:rsidP="00880010">
            <w:pPr>
              <w:pStyle w:val="Normaltable"/>
              <w:keepNext/>
              <w:jc w:val="center"/>
              <w:rPr>
                <w:rFonts w:cs="Arial"/>
                <w:szCs w:val="20"/>
              </w:rPr>
            </w:pPr>
            <w:r w:rsidRPr="007656DA">
              <w:rPr>
                <w:rFonts w:cs="Arial"/>
                <w:szCs w:val="20"/>
              </w:rPr>
              <w:t>2.1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164BDAD7" w14:textId="77777777" w:rsidR="007656DA" w:rsidRPr="0053604B" w:rsidRDefault="007656DA" w:rsidP="00880010">
            <w:pPr>
              <w:pStyle w:val="Normaltable"/>
              <w:keepNext/>
              <w:jc w:val="center"/>
              <w:rPr>
                <w:rFonts w:cs="Arial"/>
                <w:i/>
                <w:szCs w:val="20"/>
              </w:rPr>
            </w:pPr>
            <w:r w:rsidRPr="0053604B">
              <w:rPr>
                <w:rFonts w:cs="Arial"/>
                <w:i/>
                <w:szCs w:val="20"/>
              </w:rPr>
              <w:t>0.47</w:t>
            </w:r>
          </w:p>
        </w:tc>
        <w:tc>
          <w:tcPr>
            <w:tcW w:w="9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771719FB" w14:textId="77777777" w:rsidR="007656DA" w:rsidRPr="007656DA" w:rsidRDefault="007656DA" w:rsidP="00880010">
            <w:pPr>
              <w:pStyle w:val="Normaltable"/>
              <w:keepNext/>
              <w:jc w:val="center"/>
              <w:rPr>
                <w:rFonts w:cs="Arial"/>
                <w:szCs w:val="20"/>
              </w:rPr>
            </w:pPr>
            <w:r w:rsidRPr="007656DA">
              <w:rPr>
                <w:rFonts w:cs="Arial"/>
                <w:szCs w:val="20"/>
              </w:rPr>
              <w:t>2.4</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4C4CB502" w14:textId="77777777" w:rsidR="007656DA" w:rsidRPr="0053604B" w:rsidRDefault="007656DA" w:rsidP="00880010">
            <w:pPr>
              <w:keepNext/>
              <w:spacing w:after="0"/>
              <w:jc w:val="center"/>
              <w:rPr>
                <w:rFonts w:eastAsia="Batang" w:cs="Arial"/>
                <w:i/>
                <w:sz w:val="20"/>
              </w:rPr>
            </w:pPr>
            <w:r w:rsidRPr="0053604B">
              <w:rPr>
                <w:rFonts w:eastAsia="Batang" w:cs="Arial"/>
                <w:i/>
                <w:sz w:val="20"/>
              </w:rPr>
              <w:t>0.44</w:t>
            </w:r>
          </w:p>
        </w:tc>
        <w:tc>
          <w:tcPr>
            <w:tcW w:w="10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35C8ED43" w14:textId="77777777" w:rsidR="007656DA" w:rsidRPr="007656DA" w:rsidRDefault="007656DA" w:rsidP="00880010">
            <w:pPr>
              <w:pStyle w:val="Normaltable"/>
              <w:keepNext/>
              <w:jc w:val="center"/>
              <w:rPr>
                <w:rFonts w:cs="Arial"/>
                <w:szCs w:val="20"/>
              </w:rPr>
            </w:pPr>
            <w:r w:rsidRPr="007656DA">
              <w:rPr>
                <w:rFonts w:cs="Arial"/>
                <w:szCs w:val="20"/>
              </w:rPr>
              <w:t>2.8</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7842ED84" w14:textId="77777777" w:rsidR="007656DA" w:rsidRPr="0053604B" w:rsidRDefault="007656DA" w:rsidP="00880010">
            <w:pPr>
              <w:keepNext/>
              <w:spacing w:after="0"/>
              <w:jc w:val="center"/>
              <w:rPr>
                <w:rFonts w:eastAsia="Batang" w:cs="Arial"/>
                <w:i/>
                <w:sz w:val="20"/>
              </w:rPr>
            </w:pPr>
            <w:r w:rsidRPr="0053604B">
              <w:rPr>
                <w:rFonts w:eastAsia="Batang" w:cs="Arial"/>
                <w:i/>
                <w:sz w:val="20"/>
              </w:rPr>
              <w:t>0.40</w:t>
            </w:r>
          </w:p>
        </w:tc>
      </w:tr>
      <w:tr w:rsidR="007656DA" w:rsidRPr="007656DA" w14:paraId="333F01B3" w14:textId="77777777" w:rsidTr="00880010">
        <w:tc>
          <w:tcPr>
            <w:tcW w:w="2537" w:type="dxa"/>
            <w:tcBorders>
              <w:top w:val="single" w:sz="4" w:space="0" w:color="BFBFBF" w:themeColor="background1" w:themeShade="BF"/>
              <w:bottom w:val="single" w:sz="4" w:space="0" w:color="BFBFBF" w:themeColor="background1" w:themeShade="BF"/>
            </w:tcBorders>
            <w:shd w:val="clear" w:color="auto" w:fill="auto"/>
            <w:vAlign w:val="center"/>
            <w:hideMark/>
          </w:tcPr>
          <w:p w14:paraId="7B2DD8EA"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Insurance cost</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8E782FE" w14:textId="77777777" w:rsidR="007656DA" w:rsidRPr="007656DA" w:rsidRDefault="007656DA" w:rsidP="00880010">
            <w:pPr>
              <w:pStyle w:val="Normaltable"/>
              <w:keepNext/>
              <w:jc w:val="center"/>
              <w:rPr>
                <w:rFonts w:cs="Arial"/>
                <w:szCs w:val="20"/>
              </w:rPr>
            </w:pPr>
            <w:r w:rsidRPr="007656DA">
              <w:rPr>
                <w:rFonts w:cs="Arial"/>
                <w:szCs w:val="20"/>
              </w:rPr>
              <w:t>2.3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54991906" w14:textId="77777777" w:rsidR="007656DA" w:rsidRPr="0053604B" w:rsidRDefault="007656DA" w:rsidP="00880010">
            <w:pPr>
              <w:pStyle w:val="Normaltable"/>
              <w:keepNext/>
              <w:jc w:val="center"/>
              <w:rPr>
                <w:rFonts w:cs="Arial"/>
                <w:i/>
                <w:szCs w:val="20"/>
              </w:rPr>
            </w:pPr>
            <w:r w:rsidRPr="0053604B">
              <w:rPr>
                <w:rFonts w:cs="Arial"/>
                <w:i/>
                <w:szCs w:val="20"/>
              </w:rPr>
              <w:t>0.48</w:t>
            </w:r>
          </w:p>
        </w:tc>
        <w:tc>
          <w:tcPr>
            <w:tcW w:w="9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1061D15A" w14:textId="77777777" w:rsidR="007656DA" w:rsidRPr="007656DA" w:rsidRDefault="007656DA" w:rsidP="00880010">
            <w:pPr>
              <w:pStyle w:val="Normaltable"/>
              <w:keepNext/>
              <w:jc w:val="center"/>
              <w:rPr>
                <w:rFonts w:cs="Arial"/>
                <w:szCs w:val="20"/>
              </w:rPr>
            </w:pPr>
            <w:r w:rsidRPr="007656DA">
              <w:rPr>
                <w:rFonts w:cs="Arial"/>
                <w:szCs w:val="20"/>
              </w:rPr>
              <w:t>2.6</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13A918D4" w14:textId="77777777" w:rsidR="007656DA" w:rsidRPr="0053604B" w:rsidRDefault="007656DA" w:rsidP="00880010">
            <w:pPr>
              <w:keepNext/>
              <w:spacing w:after="0"/>
              <w:jc w:val="center"/>
              <w:rPr>
                <w:rFonts w:eastAsia="Batang" w:cs="Arial"/>
                <w:i/>
                <w:sz w:val="20"/>
              </w:rPr>
            </w:pPr>
            <w:r w:rsidRPr="0053604B">
              <w:rPr>
                <w:rFonts w:eastAsia="Batang" w:cs="Arial"/>
                <w:i/>
                <w:sz w:val="20"/>
              </w:rPr>
              <w:t>0.42</w:t>
            </w:r>
          </w:p>
        </w:tc>
        <w:tc>
          <w:tcPr>
            <w:tcW w:w="10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592A3A28" w14:textId="77777777" w:rsidR="007656DA" w:rsidRPr="007656DA" w:rsidRDefault="007656DA" w:rsidP="00880010">
            <w:pPr>
              <w:pStyle w:val="Normaltable"/>
              <w:keepNext/>
              <w:jc w:val="center"/>
              <w:rPr>
                <w:rFonts w:cs="Arial"/>
                <w:szCs w:val="20"/>
              </w:rPr>
            </w:pPr>
            <w:r w:rsidRPr="007656DA">
              <w:rPr>
                <w:rFonts w:cs="Arial"/>
                <w:szCs w:val="20"/>
              </w:rPr>
              <w:t>3.0</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405F2C3" w14:textId="77777777" w:rsidR="007656DA" w:rsidRPr="0053604B" w:rsidRDefault="007656DA" w:rsidP="00880010">
            <w:pPr>
              <w:keepNext/>
              <w:spacing w:after="0"/>
              <w:jc w:val="center"/>
              <w:rPr>
                <w:rFonts w:eastAsia="Batang" w:cs="Arial"/>
                <w:i/>
                <w:sz w:val="20"/>
              </w:rPr>
            </w:pPr>
            <w:r w:rsidRPr="0053604B">
              <w:rPr>
                <w:rFonts w:eastAsia="Batang" w:cs="Arial"/>
                <w:i/>
                <w:sz w:val="20"/>
              </w:rPr>
              <w:t>0.35</w:t>
            </w:r>
          </w:p>
        </w:tc>
      </w:tr>
      <w:tr w:rsidR="007656DA" w:rsidRPr="007656DA" w14:paraId="18A8A263" w14:textId="77777777" w:rsidTr="00880010">
        <w:tc>
          <w:tcPr>
            <w:tcW w:w="2537" w:type="dxa"/>
            <w:tcBorders>
              <w:top w:val="single" w:sz="4" w:space="0" w:color="BFBFBF" w:themeColor="background1" w:themeShade="BF"/>
              <w:bottom w:val="single" w:sz="4" w:space="0" w:color="BFBFBF" w:themeColor="background1" w:themeShade="BF"/>
            </w:tcBorders>
            <w:shd w:val="clear" w:color="auto" w:fill="auto"/>
            <w:vAlign w:val="center"/>
            <w:hideMark/>
          </w:tcPr>
          <w:p w14:paraId="13310839"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Fuel cost</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5B151E2A" w14:textId="77777777" w:rsidR="007656DA" w:rsidRPr="007656DA" w:rsidRDefault="007656DA" w:rsidP="00880010">
            <w:pPr>
              <w:pStyle w:val="Normaltable"/>
              <w:keepNext/>
              <w:jc w:val="center"/>
              <w:rPr>
                <w:rFonts w:cs="Arial"/>
                <w:szCs w:val="20"/>
              </w:rPr>
            </w:pPr>
            <w:r w:rsidRPr="007656DA">
              <w:rPr>
                <w:rFonts w:cs="Arial"/>
                <w:szCs w:val="20"/>
              </w:rPr>
              <w:t>3.3</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54331895" w14:textId="77777777" w:rsidR="007656DA" w:rsidRPr="0053604B" w:rsidRDefault="007656DA" w:rsidP="00880010">
            <w:pPr>
              <w:pStyle w:val="Normaltable"/>
              <w:keepNext/>
              <w:jc w:val="center"/>
              <w:rPr>
                <w:rFonts w:cs="Arial"/>
                <w:i/>
                <w:szCs w:val="20"/>
              </w:rPr>
            </w:pPr>
            <w:r w:rsidRPr="0053604B">
              <w:rPr>
                <w:rFonts w:cs="Arial"/>
                <w:i/>
                <w:szCs w:val="20"/>
              </w:rPr>
              <w:t>0.38</w:t>
            </w:r>
          </w:p>
        </w:tc>
        <w:tc>
          <w:tcPr>
            <w:tcW w:w="9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4742F87A" w14:textId="77777777" w:rsidR="007656DA" w:rsidRPr="007656DA" w:rsidRDefault="007656DA" w:rsidP="00880010">
            <w:pPr>
              <w:pStyle w:val="Normaltable"/>
              <w:keepNext/>
              <w:jc w:val="center"/>
              <w:rPr>
                <w:rFonts w:cs="Arial"/>
                <w:szCs w:val="20"/>
              </w:rPr>
            </w:pPr>
            <w:r w:rsidRPr="007656DA">
              <w:rPr>
                <w:rFonts w:cs="Arial"/>
                <w:szCs w:val="20"/>
              </w:rPr>
              <w:t>3.9</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6F432CD2" w14:textId="77777777" w:rsidR="007656DA" w:rsidRPr="0053604B" w:rsidRDefault="007656DA" w:rsidP="00880010">
            <w:pPr>
              <w:keepNext/>
              <w:spacing w:after="0"/>
              <w:jc w:val="center"/>
              <w:rPr>
                <w:rFonts w:eastAsia="Batang" w:cs="Arial"/>
                <w:i/>
                <w:sz w:val="20"/>
              </w:rPr>
            </w:pPr>
            <w:r w:rsidRPr="0053604B">
              <w:rPr>
                <w:rFonts w:eastAsia="Batang" w:cs="Arial"/>
                <w:i/>
                <w:sz w:val="20"/>
              </w:rPr>
              <w:t>0.28</w:t>
            </w:r>
          </w:p>
        </w:tc>
        <w:tc>
          <w:tcPr>
            <w:tcW w:w="10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7F1B5F95" w14:textId="77777777" w:rsidR="007656DA" w:rsidRPr="007656DA" w:rsidRDefault="007656DA" w:rsidP="00880010">
            <w:pPr>
              <w:pStyle w:val="Normaltable"/>
              <w:keepNext/>
              <w:jc w:val="center"/>
              <w:rPr>
                <w:rFonts w:cs="Arial"/>
                <w:szCs w:val="20"/>
              </w:rPr>
            </w:pPr>
            <w:r w:rsidRPr="007656DA">
              <w:rPr>
                <w:rFonts w:cs="Arial"/>
                <w:szCs w:val="20"/>
              </w:rPr>
              <w:t>4.3</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582EDB87" w14:textId="77777777" w:rsidR="007656DA" w:rsidRPr="0053604B" w:rsidRDefault="007656DA" w:rsidP="00880010">
            <w:pPr>
              <w:keepNext/>
              <w:spacing w:after="0"/>
              <w:jc w:val="center"/>
              <w:rPr>
                <w:rFonts w:eastAsia="Batang" w:cs="Arial"/>
                <w:i/>
                <w:sz w:val="20"/>
              </w:rPr>
            </w:pPr>
            <w:r w:rsidRPr="0053604B">
              <w:rPr>
                <w:rFonts w:eastAsia="Batang" w:cs="Arial"/>
                <w:i/>
                <w:sz w:val="20"/>
              </w:rPr>
              <w:t>0.19</w:t>
            </w:r>
          </w:p>
        </w:tc>
      </w:tr>
      <w:tr w:rsidR="007656DA" w:rsidRPr="007656DA" w14:paraId="2DFCE1CE" w14:textId="77777777" w:rsidTr="00880010">
        <w:tc>
          <w:tcPr>
            <w:tcW w:w="2537" w:type="dxa"/>
            <w:tcBorders>
              <w:top w:val="single" w:sz="4" w:space="0" w:color="BFBFBF" w:themeColor="background1" w:themeShade="BF"/>
              <w:bottom w:val="single" w:sz="4" w:space="0" w:color="BFBFBF" w:themeColor="background1" w:themeShade="BF"/>
            </w:tcBorders>
            <w:shd w:val="clear" w:color="auto" w:fill="auto"/>
            <w:vAlign w:val="center"/>
            <w:hideMark/>
          </w:tcPr>
          <w:p w14:paraId="186A695D"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Maintenance cost</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558CD82" w14:textId="77777777" w:rsidR="007656DA" w:rsidRPr="007656DA" w:rsidRDefault="007656DA" w:rsidP="00880010">
            <w:pPr>
              <w:pStyle w:val="Normaltable"/>
              <w:keepNext/>
              <w:jc w:val="center"/>
              <w:rPr>
                <w:rFonts w:cs="Arial"/>
                <w:szCs w:val="20"/>
              </w:rPr>
            </w:pPr>
            <w:r w:rsidRPr="007656DA">
              <w:rPr>
                <w:rFonts w:cs="Arial"/>
                <w:szCs w:val="20"/>
              </w:rPr>
              <w:t>2.2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7AD0BAF5" w14:textId="77777777" w:rsidR="007656DA" w:rsidRPr="0053604B" w:rsidRDefault="007656DA" w:rsidP="00880010">
            <w:pPr>
              <w:pStyle w:val="Normaltable"/>
              <w:keepNext/>
              <w:jc w:val="center"/>
              <w:rPr>
                <w:rFonts w:cs="Arial"/>
                <w:i/>
                <w:szCs w:val="20"/>
              </w:rPr>
            </w:pPr>
            <w:r w:rsidRPr="0053604B">
              <w:rPr>
                <w:rFonts w:cs="Arial"/>
                <w:i/>
                <w:szCs w:val="20"/>
              </w:rPr>
              <w:t>0.44</w:t>
            </w:r>
          </w:p>
        </w:tc>
        <w:tc>
          <w:tcPr>
            <w:tcW w:w="9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34A134D4" w14:textId="77777777" w:rsidR="007656DA" w:rsidRPr="007656DA" w:rsidRDefault="007656DA" w:rsidP="00880010">
            <w:pPr>
              <w:pStyle w:val="Normaltable"/>
              <w:keepNext/>
              <w:jc w:val="center"/>
              <w:rPr>
                <w:rFonts w:cs="Arial"/>
                <w:szCs w:val="20"/>
              </w:rPr>
            </w:pPr>
            <w:r w:rsidRPr="007656DA">
              <w:rPr>
                <w:rFonts w:cs="Arial"/>
                <w:szCs w:val="20"/>
              </w:rPr>
              <w:t>2.7</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27746B2E" w14:textId="77777777" w:rsidR="007656DA" w:rsidRPr="0053604B" w:rsidRDefault="007656DA" w:rsidP="00880010">
            <w:pPr>
              <w:keepNext/>
              <w:spacing w:after="0"/>
              <w:jc w:val="center"/>
              <w:rPr>
                <w:rFonts w:eastAsia="Batang" w:cs="Arial"/>
                <w:i/>
                <w:sz w:val="20"/>
              </w:rPr>
            </w:pPr>
            <w:r w:rsidRPr="0053604B">
              <w:rPr>
                <w:rFonts w:eastAsia="Batang" w:cs="Arial"/>
                <w:i/>
                <w:sz w:val="20"/>
              </w:rPr>
              <w:t>0.44</w:t>
            </w:r>
          </w:p>
        </w:tc>
        <w:tc>
          <w:tcPr>
            <w:tcW w:w="10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38408619" w14:textId="77777777" w:rsidR="007656DA" w:rsidRPr="007656DA" w:rsidRDefault="007656DA" w:rsidP="00880010">
            <w:pPr>
              <w:pStyle w:val="Normaltable"/>
              <w:keepNext/>
              <w:jc w:val="center"/>
              <w:rPr>
                <w:rFonts w:cs="Arial"/>
                <w:szCs w:val="20"/>
              </w:rPr>
            </w:pPr>
            <w:r w:rsidRPr="007656DA">
              <w:rPr>
                <w:rFonts w:cs="Arial"/>
                <w:szCs w:val="20"/>
              </w:rPr>
              <w:t>2.9</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1E654460" w14:textId="77777777" w:rsidR="007656DA" w:rsidRPr="0053604B" w:rsidRDefault="007656DA" w:rsidP="00880010">
            <w:pPr>
              <w:keepNext/>
              <w:spacing w:after="0"/>
              <w:jc w:val="center"/>
              <w:rPr>
                <w:rFonts w:eastAsia="Batang" w:cs="Arial"/>
                <w:i/>
                <w:sz w:val="20"/>
              </w:rPr>
            </w:pPr>
            <w:r w:rsidRPr="0053604B">
              <w:rPr>
                <w:rFonts w:eastAsia="Batang" w:cs="Arial"/>
                <w:i/>
                <w:sz w:val="20"/>
              </w:rPr>
              <w:t>0.36</w:t>
            </w:r>
          </w:p>
        </w:tc>
      </w:tr>
      <w:tr w:rsidR="007656DA" w:rsidRPr="007656DA" w14:paraId="2DA6AD7D" w14:textId="77777777" w:rsidTr="00880010">
        <w:tc>
          <w:tcPr>
            <w:tcW w:w="2537" w:type="dxa"/>
            <w:tcBorders>
              <w:top w:val="single" w:sz="4" w:space="0" w:color="BFBFBF" w:themeColor="background1" w:themeShade="BF"/>
              <w:bottom w:val="single" w:sz="4" w:space="0" w:color="BFBFBF" w:themeColor="background1" w:themeShade="BF"/>
            </w:tcBorders>
            <w:shd w:val="clear" w:color="auto" w:fill="auto"/>
            <w:vAlign w:val="center"/>
            <w:hideMark/>
          </w:tcPr>
          <w:p w14:paraId="596F67E3"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Parking fee</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1F15751" w14:textId="77777777" w:rsidR="007656DA" w:rsidRPr="007656DA" w:rsidRDefault="007656DA" w:rsidP="00880010">
            <w:pPr>
              <w:pStyle w:val="Normaltable"/>
              <w:keepNext/>
              <w:jc w:val="center"/>
              <w:rPr>
                <w:rFonts w:cs="Arial"/>
                <w:szCs w:val="20"/>
              </w:rPr>
            </w:pPr>
            <w:r w:rsidRPr="007656DA">
              <w:rPr>
                <w:rFonts w:cs="Arial"/>
                <w:szCs w:val="20"/>
              </w:rPr>
              <w:t>2.1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42AF8ED3" w14:textId="77777777" w:rsidR="007656DA" w:rsidRPr="0053604B" w:rsidRDefault="007656DA" w:rsidP="00880010">
            <w:pPr>
              <w:pStyle w:val="Normaltable"/>
              <w:keepNext/>
              <w:jc w:val="center"/>
              <w:rPr>
                <w:rFonts w:cs="Arial"/>
                <w:i/>
                <w:szCs w:val="20"/>
              </w:rPr>
            </w:pPr>
            <w:r w:rsidRPr="0053604B">
              <w:rPr>
                <w:rFonts w:cs="Arial"/>
                <w:i/>
                <w:szCs w:val="20"/>
              </w:rPr>
              <w:t>0.66</w:t>
            </w:r>
          </w:p>
        </w:tc>
        <w:tc>
          <w:tcPr>
            <w:tcW w:w="9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64070AAB" w14:textId="77777777" w:rsidR="007656DA" w:rsidRPr="007656DA" w:rsidRDefault="007656DA" w:rsidP="00880010">
            <w:pPr>
              <w:pStyle w:val="Normaltable"/>
              <w:keepNext/>
              <w:jc w:val="center"/>
              <w:rPr>
                <w:rFonts w:cs="Arial"/>
                <w:szCs w:val="20"/>
              </w:rPr>
            </w:pPr>
            <w:r w:rsidRPr="007656DA">
              <w:rPr>
                <w:rFonts w:cs="Arial"/>
                <w:szCs w:val="20"/>
              </w:rPr>
              <w:t>1.8</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7D31300A" w14:textId="77777777" w:rsidR="007656DA" w:rsidRPr="0053604B" w:rsidRDefault="007656DA" w:rsidP="00880010">
            <w:pPr>
              <w:keepNext/>
              <w:spacing w:after="0"/>
              <w:jc w:val="center"/>
              <w:rPr>
                <w:rFonts w:eastAsia="Batang" w:cs="Arial"/>
                <w:i/>
                <w:sz w:val="20"/>
              </w:rPr>
            </w:pPr>
            <w:r w:rsidRPr="0053604B">
              <w:rPr>
                <w:rFonts w:eastAsia="Batang" w:cs="Arial"/>
                <w:i/>
                <w:sz w:val="20"/>
              </w:rPr>
              <w:t>0.56</w:t>
            </w:r>
          </w:p>
        </w:tc>
        <w:tc>
          <w:tcPr>
            <w:tcW w:w="10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630CDB61" w14:textId="77777777" w:rsidR="007656DA" w:rsidRPr="007656DA" w:rsidRDefault="007656DA" w:rsidP="00880010">
            <w:pPr>
              <w:pStyle w:val="Normaltable"/>
              <w:keepNext/>
              <w:jc w:val="center"/>
              <w:rPr>
                <w:rFonts w:cs="Arial"/>
                <w:szCs w:val="20"/>
              </w:rPr>
            </w:pPr>
            <w:r w:rsidRPr="007656DA">
              <w:rPr>
                <w:rFonts w:cs="Arial"/>
                <w:szCs w:val="20"/>
              </w:rPr>
              <w:t>2.2</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7F48F9DE" w14:textId="77777777" w:rsidR="007656DA" w:rsidRPr="0053604B" w:rsidRDefault="007656DA" w:rsidP="00880010">
            <w:pPr>
              <w:keepNext/>
              <w:spacing w:after="0"/>
              <w:jc w:val="center"/>
              <w:rPr>
                <w:rFonts w:eastAsia="Batang" w:cs="Arial"/>
                <w:i/>
                <w:sz w:val="20"/>
              </w:rPr>
            </w:pPr>
            <w:r w:rsidRPr="0053604B">
              <w:rPr>
                <w:rFonts w:eastAsia="Batang" w:cs="Arial"/>
                <w:i/>
                <w:sz w:val="20"/>
              </w:rPr>
              <w:t>0.50</w:t>
            </w:r>
          </w:p>
        </w:tc>
      </w:tr>
      <w:tr w:rsidR="007656DA" w:rsidRPr="007656DA" w14:paraId="468B598B" w14:textId="77777777" w:rsidTr="00880010">
        <w:tc>
          <w:tcPr>
            <w:tcW w:w="2537" w:type="dxa"/>
            <w:tcBorders>
              <w:top w:val="single" w:sz="4" w:space="0" w:color="BFBFBF" w:themeColor="background1" w:themeShade="BF"/>
              <w:bottom w:val="single" w:sz="4" w:space="0" w:color="BFBFBF" w:themeColor="background1" w:themeShade="BF"/>
            </w:tcBorders>
            <w:shd w:val="clear" w:color="auto" w:fill="auto"/>
            <w:vAlign w:val="center"/>
          </w:tcPr>
          <w:p w14:paraId="6E5A675A"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Other costs</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1D3BEAD3" w14:textId="77777777" w:rsidR="007656DA" w:rsidRPr="007656DA" w:rsidRDefault="007656DA" w:rsidP="00880010">
            <w:pPr>
              <w:pStyle w:val="Normaltable"/>
              <w:keepNext/>
              <w:jc w:val="center"/>
              <w:rPr>
                <w:rFonts w:cs="Arial"/>
                <w:szCs w:val="20"/>
              </w:rPr>
            </w:pPr>
            <w:r w:rsidRPr="007656DA">
              <w:rPr>
                <w:rFonts w:cs="Arial"/>
                <w:szCs w:val="20"/>
              </w:rPr>
              <w:t>2.1</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1EAC4F56" w14:textId="77777777" w:rsidR="007656DA" w:rsidRPr="0053604B" w:rsidRDefault="007656DA" w:rsidP="00880010">
            <w:pPr>
              <w:pStyle w:val="Normaltable"/>
              <w:keepNext/>
              <w:jc w:val="center"/>
              <w:rPr>
                <w:rFonts w:cs="Arial"/>
                <w:i/>
                <w:szCs w:val="20"/>
              </w:rPr>
            </w:pPr>
            <w:r w:rsidRPr="0053604B">
              <w:rPr>
                <w:rFonts w:cs="Arial"/>
                <w:i/>
                <w:szCs w:val="20"/>
              </w:rPr>
              <w:t>0.50</w:t>
            </w:r>
          </w:p>
        </w:tc>
        <w:tc>
          <w:tcPr>
            <w:tcW w:w="9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536C4FF0" w14:textId="77777777" w:rsidR="007656DA" w:rsidRPr="007656DA" w:rsidRDefault="007656DA" w:rsidP="00880010">
            <w:pPr>
              <w:pStyle w:val="Normaltable"/>
              <w:keepNext/>
              <w:jc w:val="center"/>
              <w:rPr>
                <w:rFonts w:cs="Arial"/>
                <w:szCs w:val="20"/>
              </w:rPr>
            </w:pPr>
            <w:r w:rsidRPr="007656DA">
              <w:rPr>
                <w:rFonts w:cs="Arial"/>
                <w:szCs w:val="20"/>
              </w:rPr>
              <w:t>2.5</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7D437EC7" w14:textId="77777777" w:rsidR="007656DA" w:rsidRPr="0053604B" w:rsidRDefault="007656DA" w:rsidP="00880010">
            <w:pPr>
              <w:keepNext/>
              <w:spacing w:after="0"/>
              <w:jc w:val="center"/>
              <w:rPr>
                <w:rFonts w:eastAsia="Batang" w:cs="Arial"/>
                <w:i/>
                <w:sz w:val="20"/>
              </w:rPr>
            </w:pPr>
            <w:r w:rsidRPr="0053604B">
              <w:rPr>
                <w:rFonts w:eastAsia="Batang" w:cs="Arial"/>
                <w:i/>
                <w:sz w:val="20"/>
              </w:rPr>
              <w:t>0.45</w:t>
            </w:r>
          </w:p>
        </w:tc>
        <w:tc>
          <w:tcPr>
            <w:tcW w:w="10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21639B45" w14:textId="77777777" w:rsidR="007656DA" w:rsidRPr="007656DA" w:rsidRDefault="007656DA" w:rsidP="00880010">
            <w:pPr>
              <w:pStyle w:val="Normaltable"/>
              <w:keepNext/>
              <w:jc w:val="center"/>
              <w:rPr>
                <w:rFonts w:cs="Arial"/>
                <w:szCs w:val="20"/>
              </w:rPr>
            </w:pPr>
            <w:r w:rsidRPr="007656DA">
              <w:rPr>
                <w:rFonts w:cs="Arial"/>
                <w:szCs w:val="20"/>
              </w:rPr>
              <w:t>2.9</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05486D07" w14:textId="77777777" w:rsidR="007656DA" w:rsidRPr="0053604B" w:rsidRDefault="007656DA" w:rsidP="00880010">
            <w:pPr>
              <w:keepNext/>
              <w:spacing w:after="0"/>
              <w:jc w:val="center"/>
              <w:rPr>
                <w:rFonts w:eastAsia="Batang" w:cs="Arial"/>
                <w:i/>
                <w:sz w:val="20"/>
              </w:rPr>
            </w:pPr>
            <w:r w:rsidRPr="0053604B">
              <w:rPr>
                <w:rFonts w:eastAsia="Batang" w:cs="Arial"/>
                <w:i/>
                <w:sz w:val="20"/>
              </w:rPr>
              <w:t>0.38</w:t>
            </w:r>
          </w:p>
        </w:tc>
      </w:tr>
      <w:tr w:rsidR="007656DA" w:rsidRPr="007656DA" w14:paraId="17114128" w14:textId="77777777" w:rsidTr="00880010">
        <w:tc>
          <w:tcPr>
            <w:tcW w:w="2537" w:type="dxa"/>
            <w:tcBorders>
              <w:top w:val="single" w:sz="4" w:space="0" w:color="BFBFBF" w:themeColor="background1" w:themeShade="BF"/>
              <w:bottom w:val="single" w:sz="4" w:space="0" w:color="BFBFBF" w:themeColor="background1" w:themeShade="BF"/>
            </w:tcBorders>
            <w:shd w:val="clear" w:color="auto" w:fill="auto"/>
            <w:vAlign w:val="center"/>
          </w:tcPr>
          <w:p w14:paraId="6AF70595"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Finding a place to park</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219E0809" w14:textId="77777777" w:rsidR="007656DA" w:rsidRPr="007656DA" w:rsidRDefault="007656DA" w:rsidP="00880010">
            <w:pPr>
              <w:pStyle w:val="Normaltable"/>
              <w:keepNext/>
              <w:jc w:val="center"/>
              <w:rPr>
                <w:rFonts w:cs="Arial"/>
                <w:szCs w:val="20"/>
              </w:rPr>
            </w:pPr>
            <w:r w:rsidRPr="007656DA">
              <w:rPr>
                <w:rFonts w:cs="Arial"/>
                <w:szCs w:val="20"/>
              </w:rPr>
              <w:t>2.4</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46A7121E" w14:textId="77777777" w:rsidR="007656DA" w:rsidRPr="0053604B" w:rsidRDefault="007656DA" w:rsidP="00880010">
            <w:pPr>
              <w:pStyle w:val="Normaltable"/>
              <w:keepNext/>
              <w:jc w:val="center"/>
              <w:rPr>
                <w:rFonts w:cs="Arial"/>
                <w:i/>
                <w:szCs w:val="20"/>
              </w:rPr>
            </w:pPr>
            <w:r w:rsidRPr="0053604B">
              <w:rPr>
                <w:rFonts w:cs="Arial"/>
                <w:i/>
                <w:szCs w:val="20"/>
              </w:rPr>
              <w:t>0.60</w:t>
            </w:r>
          </w:p>
        </w:tc>
        <w:tc>
          <w:tcPr>
            <w:tcW w:w="9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126EE25E" w14:textId="77777777" w:rsidR="007656DA" w:rsidRPr="007656DA" w:rsidRDefault="007656DA" w:rsidP="00880010">
            <w:pPr>
              <w:pStyle w:val="Normaltable"/>
              <w:keepNext/>
              <w:jc w:val="center"/>
              <w:rPr>
                <w:rFonts w:cs="Arial"/>
                <w:szCs w:val="20"/>
              </w:rPr>
            </w:pPr>
            <w:r w:rsidRPr="007656DA">
              <w:rPr>
                <w:rFonts w:cs="Arial"/>
                <w:szCs w:val="20"/>
              </w:rPr>
              <w:t>2.0</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42EEDEFB" w14:textId="77777777" w:rsidR="007656DA" w:rsidRPr="0053604B" w:rsidRDefault="007656DA" w:rsidP="00880010">
            <w:pPr>
              <w:keepNext/>
              <w:spacing w:after="0"/>
              <w:jc w:val="center"/>
              <w:rPr>
                <w:rFonts w:eastAsia="Batang" w:cs="Arial"/>
                <w:i/>
                <w:sz w:val="20"/>
              </w:rPr>
            </w:pPr>
            <w:r w:rsidRPr="0053604B">
              <w:rPr>
                <w:rFonts w:eastAsia="Batang" w:cs="Arial"/>
                <w:i/>
                <w:sz w:val="20"/>
              </w:rPr>
              <w:t>0.56</w:t>
            </w:r>
          </w:p>
        </w:tc>
        <w:tc>
          <w:tcPr>
            <w:tcW w:w="10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60ED0AD0" w14:textId="77777777" w:rsidR="007656DA" w:rsidRPr="007656DA" w:rsidRDefault="007656DA" w:rsidP="00880010">
            <w:pPr>
              <w:pStyle w:val="Normaltable"/>
              <w:keepNext/>
              <w:jc w:val="center"/>
              <w:rPr>
                <w:rFonts w:cs="Arial"/>
                <w:szCs w:val="20"/>
              </w:rPr>
            </w:pPr>
            <w:r w:rsidRPr="007656DA">
              <w:rPr>
                <w:rFonts w:cs="Arial"/>
                <w:szCs w:val="20"/>
              </w:rPr>
              <w:t>2.4</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00C4C048" w14:textId="77777777" w:rsidR="007656DA" w:rsidRPr="0053604B" w:rsidRDefault="007656DA" w:rsidP="00880010">
            <w:pPr>
              <w:keepNext/>
              <w:spacing w:after="0"/>
              <w:jc w:val="center"/>
              <w:rPr>
                <w:rFonts w:eastAsia="Batang" w:cs="Arial"/>
                <w:i/>
                <w:sz w:val="20"/>
              </w:rPr>
            </w:pPr>
            <w:r w:rsidRPr="0053604B">
              <w:rPr>
                <w:rFonts w:eastAsia="Batang" w:cs="Arial"/>
                <w:i/>
                <w:sz w:val="20"/>
              </w:rPr>
              <w:t>0.48</w:t>
            </w:r>
          </w:p>
        </w:tc>
      </w:tr>
      <w:tr w:rsidR="007656DA" w:rsidRPr="007656DA" w14:paraId="0B915749" w14:textId="77777777" w:rsidTr="00880010">
        <w:tc>
          <w:tcPr>
            <w:tcW w:w="2537" w:type="dxa"/>
            <w:tcBorders>
              <w:top w:val="single" w:sz="4" w:space="0" w:color="BFBFBF" w:themeColor="background1" w:themeShade="BF"/>
              <w:bottom w:val="single" w:sz="4" w:space="0" w:color="BFBFBF" w:themeColor="background1" w:themeShade="BF"/>
            </w:tcBorders>
            <w:shd w:val="clear" w:color="auto" w:fill="auto"/>
            <w:vAlign w:val="center"/>
            <w:hideMark/>
          </w:tcPr>
          <w:p w14:paraId="0BFD5B73" w14:textId="76156447" w:rsidR="007656DA" w:rsidRPr="007656DA" w:rsidRDefault="007656DA" w:rsidP="00880010">
            <w:pPr>
              <w:pStyle w:val="Normaltable"/>
              <w:keepNext/>
              <w:rPr>
                <w:rFonts w:cs="Arial"/>
                <w:bCs/>
                <w:szCs w:val="20"/>
                <w:lang w:eastAsia="en-AU"/>
              </w:rPr>
            </w:pPr>
            <w:r w:rsidRPr="007656DA">
              <w:rPr>
                <w:rFonts w:cs="Arial"/>
                <w:bCs/>
                <w:szCs w:val="20"/>
                <w:lang w:eastAsia="en-AU"/>
              </w:rPr>
              <w:t>Having a driving licen</w:t>
            </w:r>
            <w:r w:rsidR="005F734A">
              <w:rPr>
                <w:rFonts w:cs="Arial"/>
                <w:bCs/>
                <w:szCs w:val="20"/>
                <w:lang w:eastAsia="en-AU"/>
              </w:rPr>
              <w:t>c</w:t>
            </w:r>
            <w:r w:rsidRPr="007656DA">
              <w:rPr>
                <w:rFonts w:cs="Arial"/>
                <w:bCs/>
                <w:szCs w:val="20"/>
                <w:lang w:eastAsia="en-AU"/>
              </w:rPr>
              <w:t>e</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11AA076F" w14:textId="77777777" w:rsidR="007656DA" w:rsidRPr="007656DA" w:rsidRDefault="007656DA" w:rsidP="00880010">
            <w:pPr>
              <w:pStyle w:val="Normaltable"/>
              <w:keepNext/>
              <w:jc w:val="center"/>
              <w:rPr>
                <w:rFonts w:cs="Arial"/>
                <w:szCs w:val="20"/>
              </w:rPr>
            </w:pPr>
            <w:r w:rsidRPr="007656DA">
              <w:rPr>
                <w:rFonts w:cs="Arial"/>
                <w:szCs w:val="20"/>
              </w:rPr>
              <w:t>3.2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42EBF571" w14:textId="77777777" w:rsidR="007656DA" w:rsidRPr="0053604B" w:rsidRDefault="007656DA" w:rsidP="00880010">
            <w:pPr>
              <w:pStyle w:val="Normaltable"/>
              <w:keepNext/>
              <w:jc w:val="center"/>
              <w:rPr>
                <w:rFonts w:cs="Arial"/>
                <w:i/>
                <w:szCs w:val="20"/>
              </w:rPr>
            </w:pPr>
            <w:r w:rsidRPr="0053604B">
              <w:rPr>
                <w:rFonts w:cs="Arial"/>
                <w:i/>
                <w:szCs w:val="20"/>
              </w:rPr>
              <w:t>0.40</w:t>
            </w:r>
          </w:p>
        </w:tc>
        <w:tc>
          <w:tcPr>
            <w:tcW w:w="9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7133D683" w14:textId="77777777" w:rsidR="007656DA" w:rsidRPr="007656DA" w:rsidRDefault="007656DA" w:rsidP="00880010">
            <w:pPr>
              <w:pStyle w:val="Normaltable"/>
              <w:keepNext/>
              <w:jc w:val="center"/>
              <w:rPr>
                <w:rFonts w:cs="Arial"/>
                <w:szCs w:val="20"/>
              </w:rPr>
            </w:pPr>
            <w:r w:rsidRPr="007656DA">
              <w:rPr>
                <w:rFonts w:cs="Arial"/>
                <w:szCs w:val="20"/>
              </w:rPr>
              <w:t>3.3</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6CB95BAB" w14:textId="77777777" w:rsidR="007656DA" w:rsidRPr="0053604B" w:rsidRDefault="007656DA" w:rsidP="00880010">
            <w:pPr>
              <w:keepNext/>
              <w:spacing w:after="0"/>
              <w:jc w:val="center"/>
              <w:rPr>
                <w:rFonts w:eastAsia="Batang" w:cs="Arial"/>
                <w:i/>
                <w:sz w:val="20"/>
              </w:rPr>
            </w:pPr>
            <w:r w:rsidRPr="0053604B">
              <w:rPr>
                <w:rFonts w:eastAsia="Batang" w:cs="Arial"/>
                <w:i/>
                <w:sz w:val="20"/>
              </w:rPr>
              <w:t>0.38</w:t>
            </w:r>
          </w:p>
        </w:tc>
        <w:tc>
          <w:tcPr>
            <w:tcW w:w="10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1DFEA789" w14:textId="77777777" w:rsidR="007656DA" w:rsidRPr="007656DA" w:rsidRDefault="007656DA" w:rsidP="00880010">
            <w:pPr>
              <w:pStyle w:val="Normaltable"/>
              <w:keepNext/>
              <w:jc w:val="center"/>
              <w:rPr>
                <w:rFonts w:cs="Arial"/>
                <w:szCs w:val="20"/>
              </w:rPr>
            </w:pPr>
            <w:r w:rsidRPr="007656DA">
              <w:rPr>
                <w:rFonts w:cs="Arial"/>
                <w:szCs w:val="20"/>
              </w:rPr>
              <w:t>3.6</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D6DE259" w14:textId="77777777" w:rsidR="007656DA" w:rsidRPr="0053604B" w:rsidRDefault="007656DA" w:rsidP="00880010">
            <w:pPr>
              <w:keepNext/>
              <w:spacing w:after="0"/>
              <w:jc w:val="center"/>
              <w:rPr>
                <w:rFonts w:eastAsia="Batang" w:cs="Arial"/>
                <w:i/>
                <w:sz w:val="20"/>
              </w:rPr>
            </w:pPr>
            <w:r w:rsidRPr="0053604B">
              <w:rPr>
                <w:rFonts w:eastAsia="Batang" w:cs="Arial"/>
                <w:i/>
                <w:sz w:val="20"/>
              </w:rPr>
              <w:t>0.28</w:t>
            </w:r>
          </w:p>
        </w:tc>
      </w:tr>
      <w:tr w:rsidR="007656DA" w:rsidRPr="007656DA" w14:paraId="0FCCA0B8" w14:textId="77777777" w:rsidTr="00880010">
        <w:tc>
          <w:tcPr>
            <w:tcW w:w="2537" w:type="dxa"/>
            <w:tcBorders>
              <w:top w:val="single" w:sz="4" w:space="0" w:color="BFBFBF" w:themeColor="background1" w:themeShade="BF"/>
              <w:bottom w:val="single" w:sz="4" w:space="0" w:color="BFBFBF" w:themeColor="background1" w:themeShade="BF"/>
            </w:tcBorders>
            <w:shd w:val="clear" w:color="auto" w:fill="auto"/>
            <w:vAlign w:val="center"/>
            <w:hideMark/>
          </w:tcPr>
          <w:p w14:paraId="61CE5506"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Safe travel on the road</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3A0A849" w14:textId="77777777" w:rsidR="007656DA" w:rsidRPr="007656DA" w:rsidRDefault="007656DA" w:rsidP="00880010">
            <w:pPr>
              <w:pStyle w:val="Normaltable"/>
              <w:keepNext/>
              <w:jc w:val="center"/>
              <w:rPr>
                <w:rFonts w:cs="Arial"/>
                <w:szCs w:val="20"/>
              </w:rPr>
            </w:pPr>
            <w:r w:rsidRPr="007656DA">
              <w:rPr>
                <w:rFonts w:cs="Arial"/>
                <w:szCs w:val="20"/>
              </w:rPr>
              <w:t>4.6</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0564E1F3" w14:textId="77777777" w:rsidR="007656DA" w:rsidRPr="0053604B" w:rsidRDefault="007656DA" w:rsidP="00880010">
            <w:pPr>
              <w:pStyle w:val="Normaltable"/>
              <w:keepNext/>
              <w:jc w:val="center"/>
              <w:rPr>
                <w:rFonts w:cs="Arial"/>
                <w:i/>
                <w:szCs w:val="20"/>
              </w:rPr>
            </w:pPr>
            <w:r w:rsidRPr="0053604B">
              <w:rPr>
                <w:rFonts w:cs="Arial"/>
                <w:i/>
                <w:szCs w:val="20"/>
              </w:rPr>
              <w:t>0.11</w:t>
            </w:r>
          </w:p>
        </w:tc>
        <w:tc>
          <w:tcPr>
            <w:tcW w:w="9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0A3CCA33" w14:textId="77777777" w:rsidR="007656DA" w:rsidRPr="007656DA" w:rsidRDefault="007656DA" w:rsidP="00880010">
            <w:pPr>
              <w:pStyle w:val="Normaltable"/>
              <w:keepNext/>
              <w:jc w:val="center"/>
              <w:rPr>
                <w:rFonts w:cs="Arial"/>
                <w:szCs w:val="20"/>
              </w:rPr>
            </w:pPr>
            <w:r w:rsidRPr="007656DA">
              <w:rPr>
                <w:rFonts w:cs="Arial"/>
                <w:szCs w:val="20"/>
              </w:rPr>
              <w:t>4.7</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5925AC5D" w14:textId="77777777" w:rsidR="007656DA" w:rsidRPr="0053604B" w:rsidRDefault="007656DA" w:rsidP="00880010">
            <w:pPr>
              <w:keepNext/>
              <w:spacing w:after="0"/>
              <w:jc w:val="center"/>
              <w:rPr>
                <w:rFonts w:eastAsia="Batang" w:cs="Arial"/>
                <w:i/>
                <w:sz w:val="20"/>
              </w:rPr>
            </w:pPr>
            <w:r w:rsidRPr="0053604B">
              <w:rPr>
                <w:rFonts w:eastAsia="Batang" w:cs="Arial"/>
                <w:i/>
                <w:sz w:val="20"/>
              </w:rPr>
              <w:t>0.12</w:t>
            </w:r>
          </w:p>
        </w:tc>
        <w:tc>
          <w:tcPr>
            <w:tcW w:w="10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15526193" w14:textId="77777777" w:rsidR="007656DA" w:rsidRPr="007656DA" w:rsidRDefault="007656DA" w:rsidP="00880010">
            <w:pPr>
              <w:pStyle w:val="Normaltable"/>
              <w:keepNext/>
              <w:jc w:val="center"/>
              <w:rPr>
                <w:rFonts w:cs="Arial"/>
                <w:szCs w:val="20"/>
              </w:rPr>
            </w:pPr>
            <w:r w:rsidRPr="007656DA">
              <w:rPr>
                <w:rFonts w:cs="Arial"/>
                <w:szCs w:val="20"/>
              </w:rPr>
              <w:t>4.8</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14760C90" w14:textId="77777777" w:rsidR="007656DA" w:rsidRPr="0053604B" w:rsidRDefault="007656DA" w:rsidP="00880010">
            <w:pPr>
              <w:keepNext/>
              <w:spacing w:after="0"/>
              <w:jc w:val="center"/>
              <w:rPr>
                <w:rFonts w:eastAsia="Batang" w:cs="Arial"/>
                <w:i/>
                <w:sz w:val="20"/>
              </w:rPr>
            </w:pPr>
            <w:r w:rsidRPr="0053604B">
              <w:rPr>
                <w:rFonts w:eastAsia="Batang" w:cs="Arial"/>
                <w:i/>
                <w:sz w:val="20"/>
              </w:rPr>
              <w:t>0.09</w:t>
            </w:r>
          </w:p>
        </w:tc>
      </w:tr>
      <w:tr w:rsidR="007656DA" w:rsidRPr="007656DA" w14:paraId="0EE20929" w14:textId="77777777" w:rsidTr="00880010">
        <w:tc>
          <w:tcPr>
            <w:tcW w:w="2537" w:type="dxa"/>
            <w:tcBorders>
              <w:top w:val="single" w:sz="4" w:space="0" w:color="BFBFBF" w:themeColor="background1" w:themeShade="BF"/>
              <w:bottom w:val="single" w:sz="4" w:space="0" w:color="BFBFBF" w:themeColor="background1" w:themeShade="BF"/>
            </w:tcBorders>
            <w:shd w:val="clear" w:color="auto" w:fill="auto"/>
            <w:vAlign w:val="center"/>
            <w:hideMark/>
          </w:tcPr>
          <w:p w14:paraId="383E735C"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Vehicle safety features</w:t>
            </w:r>
          </w:p>
        </w:tc>
        <w:tc>
          <w:tcPr>
            <w:tcW w:w="992"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bottom"/>
          </w:tcPr>
          <w:p w14:paraId="4EDC52F5" w14:textId="77777777" w:rsidR="007656DA" w:rsidRPr="007656DA" w:rsidRDefault="007656DA" w:rsidP="00880010">
            <w:pPr>
              <w:pStyle w:val="Normaltable"/>
              <w:keepNext/>
              <w:jc w:val="center"/>
              <w:rPr>
                <w:rFonts w:cs="Arial"/>
                <w:szCs w:val="20"/>
              </w:rPr>
            </w:pPr>
            <w:r w:rsidRPr="007656DA">
              <w:rPr>
                <w:rFonts w:cs="Arial"/>
                <w:szCs w:val="20"/>
              </w:rPr>
              <w:t>4.2</w:t>
            </w:r>
          </w:p>
        </w:tc>
        <w:tc>
          <w:tcPr>
            <w:tcW w:w="99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tcPr>
          <w:p w14:paraId="7567663B" w14:textId="77777777" w:rsidR="007656DA" w:rsidRPr="0053604B" w:rsidRDefault="007656DA" w:rsidP="00880010">
            <w:pPr>
              <w:pStyle w:val="Normaltable"/>
              <w:keepNext/>
              <w:jc w:val="center"/>
              <w:rPr>
                <w:rFonts w:cs="Arial"/>
                <w:i/>
                <w:szCs w:val="20"/>
              </w:rPr>
            </w:pPr>
            <w:r w:rsidRPr="0053604B">
              <w:rPr>
                <w:rFonts w:cs="Arial"/>
                <w:i/>
                <w:szCs w:val="20"/>
              </w:rPr>
              <w:t>0.22</w:t>
            </w:r>
          </w:p>
        </w:tc>
        <w:tc>
          <w:tcPr>
            <w:tcW w:w="992"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bottom"/>
          </w:tcPr>
          <w:p w14:paraId="1AC9CE7C" w14:textId="77777777" w:rsidR="007656DA" w:rsidRPr="007656DA" w:rsidRDefault="007656DA" w:rsidP="00880010">
            <w:pPr>
              <w:pStyle w:val="Normaltable"/>
              <w:keepNext/>
              <w:jc w:val="center"/>
              <w:rPr>
                <w:rFonts w:cs="Arial"/>
                <w:szCs w:val="20"/>
              </w:rPr>
            </w:pPr>
            <w:r w:rsidRPr="007656DA">
              <w:rPr>
                <w:rFonts w:cs="Arial"/>
                <w:szCs w:val="20"/>
              </w:rPr>
              <w:t>4.4</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tcPr>
          <w:p w14:paraId="4B0337FF" w14:textId="77777777" w:rsidR="007656DA" w:rsidRPr="0053604B" w:rsidRDefault="007656DA" w:rsidP="00880010">
            <w:pPr>
              <w:keepNext/>
              <w:spacing w:after="0"/>
              <w:jc w:val="center"/>
              <w:rPr>
                <w:rFonts w:eastAsia="Batang" w:cs="Arial"/>
                <w:i/>
                <w:sz w:val="20"/>
              </w:rPr>
            </w:pPr>
            <w:r w:rsidRPr="0053604B">
              <w:rPr>
                <w:rFonts w:eastAsia="Batang" w:cs="Arial"/>
                <w:i/>
                <w:sz w:val="20"/>
              </w:rPr>
              <w:t>0.17</w:t>
            </w:r>
          </w:p>
        </w:tc>
        <w:tc>
          <w:tcPr>
            <w:tcW w:w="10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vAlign w:val="bottom"/>
          </w:tcPr>
          <w:p w14:paraId="55882061" w14:textId="77777777" w:rsidR="007656DA" w:rsidRPr="007656DA" w:rsidRDefault="007656DA" w:rsidP="00880010">
            <w:pPr>
              <w:pStyle w:val="Normaltable"/>
              <w:keepNext/>
              <w:jc w:val="center"/>
              <w:rPr>
                <w:rFonts w:cs="Arial"/>
                <w:szCs w:val="20"/>
              </w:rPr>
            </w:pPr>
            <w:r w:rsidRPr="007656DA">
              <w:rPr>
                <w:rFonts w:cs="Arial"/>
                <w:szCs w:val="20"/>
              </w:rPr>
              <w:t>4.4</w:t>
            </w:r>
          </w:p>
        </w:tc>
        <w:tc>
          <w:tcPr>
            <w:tcW w:w="1087"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624F14E9" w14:textId="77777777" w:rsidR="007656DA" w:rsidRPr="0053604B" w:rsidRDefault="007656DA" w:rsidP="00880010">
            <w:pPr>
              <w:keepNext/>
              <w:spacing w:after="0"/>
              <w:jc w:val="center"/>
              <w:rPr>
                <w:rFonts w:eastAsia="Batang" w:cs="Arial"/>
                <w:i/>
                <w:sz w:val="20"/>
              </w:rPr>
            </w:pPr>
            <w:r w:rsidRPr="0053604B">
              <w:rPr>
                <w:rFonts w:eastAsia="Batang" w:cs="Arial"/>
                <w:i/>
                <w:sz w:val="20"/>
              </w:rPr>
              <w:t>0.18</w:t>
            </w:r>
          </w:p>
        </w:tc>
      </w:tr>
      <w:tr w:rsidR="007656DA" w:rsidRPr="007656DA" w14:paraId="53C08E54" w14:textId="77777777" w:rsidTr="00880010">
        <w:tc>
          <w:tcPr>
            <w:tcW w:w="2537" w:type="dxa"/>
            <w:tcBorders>
              <w:top w:val="single" w:sz="4" w:space="0" w:color="BFBFBF" w:themeColor="background1" w:themeShade="BF"/>
            </w:tcBorders>
            <w:shd w:val="clear" w:color="auto" w:fill="auto"/>
            <w:vAlign w:val="center"/>
            <w:hideMark/>
          </w:tcPr>
          <w:p w14:paraId="10862D8F" w14:textId="77777777" w:rsidR="007656DA" w:rsidRPr="007656DA" w:rsidRDefault="007656DA" w:rsidP="00880010">
            <w:pPr>
              <w:pStyle w:val="Normaltable"/>
              <w:keepNext/>
              <w:rPr>
                <w:rFonts w:cs="Arial"/>
                <w:bCs/>
                <w:szCs w:val="20"/>
                <w:lang w:eastAsia="en-AU"/>
              </w:rPr>
            </w:pPr>
            <w:r w:rsidRPr="007656DA">
              <w:rPr>
                <w:rFonts w:cs="Arial"/>
                <w:bCs/>
                <w:szCs w:val="20"/>
                <w:lang w:eastAsia="en-AU"/>
              </w:rPr>
              <w:t>Average</w:t>
            </w:r>
          </w:p>
        </w:tc>
        <w:tc>
          <w:tcPr>
            <w:tcW w:w="992" w:type="dxa"/>
            <w:tcBorders>
              <w:top w:val="single" w:sz="4" w:space="0" w:color="BFBFBF" w:themeColor="background1" w:themeShade="BF"/>
              <w:right w:val="single" w:sz="4" w:space="0" w:color="BFBFBF" w:themeColor="background1" w:themeShade="BF"/>
            </w:tcBorders>
            <w:shd w:val="clear" w:color="auto" w:fill="auto"/>
            <w:noWrap/>
            <w:vAlign w:val="bottom"/>
          </w:tcPr>
          <w:p w14:paraId="068E7B41" w14:textId="77777777" w:rsidR="007656DA" w:rsidRPr="007656DA" w:rsidRDefault="007656DA" w:rsidP="00880010">
            <w:pPr>
              <w:pStyle w:val="Normaltable"/>
              <w:keepNext/>
              <w:jc w:val="center"/>
              <w:rPr>
                <w:rFonts w:cs="Arial"/>
                <w:szCs w:val="20"/>
              </w:rPr>
            </w:pPr>
            <w:r w:rsidRPr="007656DA">
              <w:rPr>
                <w:rFonts w:cs="Arial"/>
                <w:szCs w:val="20"/>
              </w:rPr>
              <w:t>2.8</w:t>
            </w:r>
          </w:p>
        </w:tc>
        <w:tc>
          <w:tcPr>
            <w:tcW w:w="992" w:type="dxa"/>
            <w:tcBorders>
              <w:top w:val="single" w:sz="4" w:space="0" w:color="BFBFBF" w:themeColor="background1" w:themeShade="BF"/>
              <w:left w:val="single" w:sz="4" w:space="0" w:color="BFBFBF" w:themeColor="background1" w:themeShade="BF"/>
              <w:right w:val="single" w:sz="4" w:space="0" w:color="000000" w:themeColor="text1"/>
            </w:tcBorders>
            <w:vAlign w:val="bottom"/>
          </w:tcPr>
          <w:p w14:paraId="231B17D9" w14:textId="77777777" w:rsidR="007656DA" w:rsidRPr="0053604B" w:rsidRDefault="007656DA" w:rsidP="00880010">
            <w:pPr>
              <w:pStyle w:val="Normaltable"/>
              <w:keepNext/>
              <w:jc w:val="center"/>
              <w:rPr>
                <w:rFonts w:cs="Arial"/>
                <w:i/>
                <w:szCs w:val="20"/>
              </w:rPr>
            </w:pPr>
            <w:r w:rsidRPr="0053604B">
              <w:rPr>
                <w:rFonts w:cs="Arial"/>
                <w:i/>
                <w:szCs w:val="20"/>
              </w:rPr>
              <w:t>0.44</w:t>
            </w:r>
          </w:p>
        </w:tc>
        <w:tc>
          <w:tcPr>
            <w:tcW w:w="992" w:type="dxa"/>
            <w:tcBorders>
              <w:top w:val="single" w:sz="4" w:space="0" w:color="BFBFBF" w:themeColor="background1" w:themeShade="BF"/>
              <w:left w:val="single" w:sz="4" w:space="0" w:color="000000" w:themeColor="text1"/>
              <w:right w:val="single" w:sz="4" w:space="0" w:color="BFBFBF" w:themeColor="background1" w:themeShade="BF"/>
            </w:tcBorders>
            <w:shd w:val="clear" w:color="auto" w:fill="auto"/>
            <w:noWrap/>
            <w:vAlign w:val="bottom"/>
          </w:tcPr>
          <w:p w14:paraId="616EB240" w14:textId="77777777" w:rsidR="007656DA" w:rsidRPr="007656DA" w:rsidRDefault="007656DA" w:rsidP="00880010">
            <w:pPr>
              <w:pStyle w:val="Normaltable"/>
              <w:keepNext/>
              <w:jc w:val="center"/>
              <w:rPr>
                <w:rFonts w:cs="Arial"/>
                <w:szCs w:val="20"/>
              </w:rPr>
            </w:pPr>
            <w:r w:rsidRPr="007656DA">
              <w:rPr>
                <w:rFonts w:cs="Arial"/>
                <w:szCs w:val="20"/>
              </w:rPr>
              <w:t>3.0</w:t>
            </w:r>
          </w:p>
        </w:tc>
        <w:tc>
          <w:tcPr>
            <w:tcW w:w="1087" w:type="dxa"/>
            <w:tcBorders>
              <w:top w:val="single" w:sz="4" w:space="0" w:color="BFBFBF" w:themeColor="background1" w:themeShade="BF"/>
              <w:left w:val="single" w:sz="4" w:space="0" w:color="BFBFBF" w:themeColor="background1" w:themeShade="BF"/>
              <w:right w:val="single" w:sz="4" w:space="0" w:color="000000" w:themeColor="text1"/>
            </w:tcBorders>
            <w:shd w:val="clear" w:color="auto" w:fill="auto"/>
            <w:vAlign w:val="bottom"/>
          </w:tcPr>
          <w:p w14:paraId="6EB939F5" w14:textId="77777777" w:rsidR="007656DA" w:rsidRPr="0053604B" w:rsidRDefault="007656DA" w:rsidP="00880010">
            <w:pPr>
              <w:pStyle w:val="Normaltable"/>
              <w:keepNext/>
              <w:jc w:val="center"/>
              <w:rPr>
                <w:rFonts w:cs="Arial"/>
                <w:i/>
                <w:szCs w:val="20"/>
              </w:rPr>
            </w:pPr>
            <w:r w:rsidRPr="0053604B">
              <w:rPr>
                <w:rFonts w:cs="Arial"/>
                <w:i/>
                <w:szCs w:val="20"/>
              </w:rPr>
              <w:t>0.38</w:t>
            </w:r>
          </w:p>
        </w:tc>
        <w:tc>
          <w:tcPr>
            <w:tcW w:w="1087" w:type="dxa"/>
            <w:tcBorders>
              <w:top w:val="single" w:sz="4" w:space="0" w:color="BFBFBF" w:themeColor="background1" w:themeShade="BF"/>
              <w:left w:val="single" w:sz="4" w:space="0" w:color="000000" w:themeColor="text1"/>
              <w:right w:val="single" w:sz="4" w:space="0" w:color="BFBFBF" w:themeColor="background1" w:themeShade="BF"/>
            </w:tcBorders>
            <w:shd w:val="clear" w:color="auto" w:fill="auto"/>
            <w:vAlign w:val="bottom"/>
          </w:tcPr>
          <w:p w14:paraId="52F15DBF" w14:textId="77777777" w:rsidR="007656DA" w:rsidRPr="007656DA" w:rsidRDefault="007656DA" w:rsidP="00880010">
            <w:pPr>
              <w:pStyle w:val="Normaltable"/>
              <w:keepNext/>
              <w:jc w:val="center"/>
              <w:rPr>
                <w:rFonts w:cs="Arial"/>
                <w:szCs w:val="20"/>
              </w:rPr>
            </w:pPr>
            <w:r w:rsidRPr="007656DA">
              <w:rPr>
                <w:rFonts w:cs="Arial"/>
                <w:szCs w:val="20"/>
              </w:rPr>
              <w:t>3.4</w:t>
            </w:r>
          </w:p>
        </w:tc>
        <w:tc>
          <w:tcPr>
            <w:tcW w:w="1087" w:type="dxa"/>
            <w:tcBorders>
              <w:top w:val="single" w:sz="4" w:space="0" w:color="BFBFBF" w:themeColor="background1" w:themeShade="BF"/>
              <w:left w:val="single" w:sz="4" w:space="0" w:color="BFBFBF" w:themeColor="background1" w:themeShade="BF"/>
            </w:tcBorders>
            <w:shd w:val="clear" w:color="auto" w:fill="auto"/>
          </w:tcPr>
          <w:p w14:paraId="10A6380A" w14:textId="77777777" w:rsidR="007656DA" w:rsidRPr="0053604B" w:rsidRDefault="007656DA" w:rsidP="00880010">
            <w:pPr>
              <w:pStyle w:val="Normaltable"/>
              <w:keepNext/>
              <w:jc w:val="center"/>
              <w:rPr>
                <w:rFonts w:cs="Arial"/>
                <w:i/>
                <w:szCs w:val="20"/>
              </w:rPr>
            </w:pPr>
            <w:r w:rsidRPr="0053604B">
              <w:rPr>
                <w:rFonts w:cs="Arial"/>
                <w:i/>
                <w:szCs w:val="20"/>
              </w:rPr>
              <w:t>0.32</w:t>
            </w:r>
          </w:p>
        </w:tc>
      </w:tr>
    </w:tbl>
    <w:p w14:paraId="73291149" w14:textId="77777777" w:rsidR="007656DA" w:rsidRDefault="007656DA" w:rsidP="00853BDF"/>
    <w:p w14:paraId="6D7076B6" w14:textId="2D372A1E" w:rsidR="00853BDF" w:rsidRDefault="002D29C7" w:rsidP="00C047FF">
      <w:pPr>
        <w:pStyle w:val="Captionstyle"/>
        <w:keepNext/>
      </w:pPr>
      <w:r>
        <w:lastRenderedPageBreak/>
        <w:t xml:space="preserve">Table </w:t>
      </w:r>
      <w:r w:rsidR="005F734A">
        <w:t>5</w:t>
      </w:r>
      <w:r w:rsidR="00AF2F6F">
        <w:t>:</w:t>
      </w:r>
      <w:r w:rsidR="00853BDF">
        <w:t xml:space="preserve"> Importance of Quality Factors for the Last Motorized Trip Made (by Mode Used and Alternative Modes)</w:t>
      </w:r>
    </w:p>
    <w:tbl>
      <w:tblPr>
        <w:tblW w:w="5000" w:type="pct"/>
        <w:tblInd w:w="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1" w:type="dxa"/>
          <w:left w:w="57" w:type="dxa"/>
          <w:bottom w:w="11" w:type="dxa"/>
          <w:right w:w="57" w:type="dxa"/>
        </w:tblCellMar>
        <w:tblLook w:val="04A0" w:firstRow="1" w:lastRow="0" w:firstColumn="1" w:lastColumn="0" w:noHBand="0" w:noVBand="1"/>
      </w:tblPr>
      <w:tblGrid>
        <w:gridCol w:w="2620"/>
        <w:gridCol w:w="1073"/>
        <w:gridCol w:w="1074"/>
        <w:gridCol w:w="1073"/>
        <w:gridCol w:w="1074"/>
        <w:gridCol w:w="1073"/>
        <w:gridCol w:w="1074"/>
      </w:tblGrid>
      <w:tr w:rsidR="00A02AA1" w:rsidRPr="000A2328" w14:paraId="5CE43D12" w14:textId="77777777" w:rsidTr="00C047FF">
        <w:tc>
          <w:tcPr>
            <w:tcW w:w="2537" w:type="dxa"/>
            <w:vMerge w:val="restart"/>
            <w:shd w:val="clear" w:color="auto" w:fill="auto"/>
            <w:noWrap/>
          </w:tcPr>
          <w:p w14:paraId="0E870E85" w14:textId="77777777" w:rsidR="00A02AA1" w:rsidRPr="00A02AA1" w:rsidRDefault="00A02AA1" w:rsidP="00C047FF">
            <w:pPr>
              <w:pStyle w:val="Normaltable"/>
              <w:keepNext/>
              <w:rPr>
                <w:rFonts w:cs="Arial"/>
                <w:b/>
                <w:szCs w:val="20"/>
                <w:lang w:eastAsia="en-AU"/>
              </w:rPr>
            </w:pPr>
            <w:r w:rsidRPr="00A02AA1">
              <w:rPr>
                <w:rFonts w:cs="Arial"/>
                <w:b/>
                <w:szCs w:val="20"/>
                <w:lang w:eastAsia="en-AU"/>
              </w:rPr>
              <w:t>Factor</w:t>
            </w:r>
          </w:p>
        </w:tc>
        <w:tc>
          <w:tcPr>
            <w:tcW w:w="6237" w:type="dxa"/>
            <w:gridSpan w:val="6"/>
            <w:tcBorders>
              <w:bottom w:val="single" w:sz="4" w:space="0" w:color="000000" w:themeColor="text1"/>
            </w:tcBorders>
            <w:shd w:val="clear" w:color="auto" w:fill="auto"/>
            <w:noWrap/>
            <w:tcMar>
              <w:left w:w="28" w:type="dxa"/>
              <w:right w:w="28" w:type="dxa"/>
            </w:tcMar>
          </w:tcPr>
          <w:p w14:paraId="6E44B518" w14:textId="77777777" w:rsidR="00A02AA1" w:rsidRPr="00A02AA1" w:rsidRDefault="00A02AA1" w:rsidP="00C047FF">
            <w:pPr>
              <w:pStyle w:val="Normaltable"/>
              <w:keepNext/>
              <w:jc w:val="center"/>
              <w:rPr>
                <w:rFonts w:cs="Arial"/>
                <w:b/>
                <w:color w:val="000000"/>
                <w:szCs w:val="20"/>
              </w:rPr>
            </w:pPr>
            <w:r w:rsidRPr="00A02AA1">
              <w:rPr>
                <w:rFonts w:cs="Arial"/>
                <w:b/>
                <w:szCs w:val="20"/>
                <w:lang w:eastAsia="en-AU"/>
              </w:rPr>
              <w:t>1=not important, 5=important</w:t>
            </w:r>
          </w:p>
        </w:tc>
      </w:tr>
      <w:tr w:rsidR="00A02AA1" w:rsidRPr="000A2328" w14:paraId="44AB943F" w14:textId="77777777" w:rsidTr="00C047FF">
        <w:tc>
          <w:tcPr>
            <w:tcW w:w="2537" w:type="dxa"/>
            <w:vMerge/>
            <w:shd w:val="clear" w:color="auto" w:fill="auto"/>
            <w:noWrap/>
          </w:tcPr>
          <w:p w14:paraId="3B07D659" w14:textId="77777777" w:rsidR="00A02AA1" w:rsidRPr="00A02AA1" w:rsidRDefault="00A02AA1" w:rsidP="00C047FF">
            <w:pPr>
              <w:pStyle w:val="Normaltable"/>
              <w:keepNext/>
              <w:rPr>
                <w:rFonts w:cs="Arial"/>
                <w:b/>
                <w:szCs w:val="20"/>
                <w:lang w:eastAsia="en-AU"/>
              </w:rPr>
            </w:pPr>
          </w:p>
        </w:tc>
        <w:tc>
          <w:tcPr>
            <w:tcW w:w="2079" w:type="dxa"/>
            <w:gridSpan w:val="2"/>
            <w:tcBorders>
              <w:bottom w:val="single" w:sz="4" w:space="0" w:color="000000" w:themeColor="text1"/>
            </w:tcBorders>
            <w:shd w:val="clear" w:color="auto" w:fill="auto"/>
            <w:noWrap/>
            <w:tcMar>
              <w:left w:w="28" w:type="dxa"/>
              <w:right w:w="28" w:type="dxa"/>
            </w:tcMar>
          </w:tcPr>
          <w:p w14:paraId="76E2E1E2" w14:textId="77777777" w:rsidR="00A02AA1" w:rsidRDefault="00A02AA1" w:rsidP="00C047FF">
            <w:pPr>
              <w:pStyle w:val="Normaltable"/>
              <w:keepNext/>
              <w:jc w:val="center"/>
              <w:rPr>
                <w:rFonts w:cs="Arial"/>
                <w:b/>
                <w:color w:val="000000"/>
                <w:szCs w:val="20"/>
              </w:rPr>
            </w:pPr>
            <w:r w:rsidRPr="00A02AA1">
              <w:rPr>
                <w:rFonts w:cs="Arial"/>
                <w:b/>
                <w:color w:val="000000"/>
                <w:szCs w:val="20"/>
              </w:rPr>
              <w:t>Travel by Motorcycle</w:t>
            </w:r>
          </w:p>
          <w:p w14:paraId="36B6E302" w14:textId="0C1DB7EE" w:rsidR="00AF2F6F" w:rsidRPr="00A02AA1" w:rsidRDefault="00AF2F6F" w:rsidP="00C047FF">
            <w:pPr>
              <w:pStyle w:val="Normaltable"/>
              <w:keepNext/>
              <w:jc w:val="center"/>
              <w:rPr>
                <w:rFonts w:cs="Arial"/>
                <w:b/>
                <w:color w:val="000000"/>
                <w:szCs w:val="20"/>
              </w:rPr>
            </w:pPr>
            <w:r>
              <w:rPr>
                <w:rFonts w:cs="Arial"/>
                <w:b/>
                <w:color w:val="000000"/>
                <w:szCs w:val="20"/>
              </w:rPr>
              <w:t>(N=</w:t>
            </w:r>
            <w:r w:rsidR="00C24B77">
              <w:rPr>
                <w:rFonts w:cs="Arial"/>
                <w:b/>
                <w:color w:val="000000"/>
                <w:szCs w:val="20"/>
              </w:rPr>
              <w:t>1,216</w:t>
            </w:r>
            <w:r>
              <w:rPr>
                <w:rFonts w:cs="Arial"/>
                <w:b/>
                <w:color w:val="000000"/>
                <w:szCs w:val="20"/>
              </w:rPr>
              <w:t>)</w:t>
            </w:r>
          </w:p>
        </w:tc>
        <w:tc>
          <w:tcPr>
            <w:tcW w:w="2079" w:type="dxa"/>
            <w:gridSpan w:val="2"/>
            <w:shd w:val="clear" w:color="auto" w:fill="auto"/>
            <w:noWrap/>
            <w:tcMar>
              <w:left w:w="28" w:type="dxa"/>
              <w:right w:w="28" w:type="dxa"/>
            </w:tcMar>
          </w:tcPr>
          <w:p w14:paraId="3DAF80DD" w14:textId="77777777" w:rsidR="00AF2F6F" w:rsidRDefault="00A02AA1" w:rsidP="00C047FF">
            <w:pPr>
              <w:pStyle w:val="Normaltable"/>
              <w:keepNext/>
              <w:jc w:val="center"/>
              <w:rPr>
                <w:rFonts w:cs="Arial"/>
                <w:b/>
                <w:color w:val="000000"/>
                <w:szCs w:val="20"/>
              </w:rPr>
            </w:pPr>
            <w:r w:rsidRPr="00A02AA1">
              <w:rPr>
                <w:rFonts w:cs="Arial"/>
                <w:b/>
                <w:color w:val="000000"/>
                <w:szCs w:val="20"/>
              </w:rPr>
              <w:t>Travel by Bicycle</w:t>
            </w:r>
          </w:p>
          <w:p w14:paraId="212F92EE" w14:textId="510D5C01" w:rsidR="00A02AA1" w:rsidRPr="00A02AA1" w:rsidRDefault="00AF2F6F" w:rsidP="00C047FF">
            <w:pPr>
              <w:pStyle w:val="Normaltable"/>
              <w:keepNext/>
              <w:jc w:val="center"/>
              <w:rPr>
                <w:rFonts w:cs="Arial"/>
                <w:b/>
                <w:color w:val="000000"/>
                <w:szCs w:val="20"/>
              </w:rPr>
            </w:pPr>
            <w:r>
              <w:rPr>
                <w:rFonts w:cs="Arial"/>
                <w:b/>
                <w:color w:val="000000"/>
                <w:szCs w:val="20"/>
              </w:rPr>
              <w:t>(N=</w:t>
            </w:r>
            <w:r w:rsidR="00C24B77">
              <w:rPr>
                <w:rFonts w:cs="Arial"/>
                <w:b/>
                <w:color w:val="000000"/>
                <w:szCs w:val="20"/>
              </w:rPr>
              <w:t>1,216</w:t>
            </w:r>
            <w:r>
              <w:rPr>
                <w:rFonts w:cs="Arial"/>
                <w:b/>
                <w:color w:val="000000"/>
                <w:szCs w:val="20"/>
              </w:rPr>
              <w:t>)</w:t>
            </w:r>
          </w:p>
        </w:tc>
        <w:tc>
          <w:tcPr>
            <w:tcW w:w="2079" w:type="dxa"/>
            <w:gridSpan w:val="2"/>
            <w:shd w:val="clear" w:color="auto" w:fill="auto"/>
          </w:tcPr>
          <w:p w14:paraId="4D6791BB" w14:textId="77777777" w:rsidR="00AF2F6F" w:rsidRDefault="00A02AA1" w:rsidP="00C047FF">
            <w:pPr>
              <w:pStyle w:val="Normaltable"/>
              <w:keepNext/>
              <w:jc w:val="center"/>
              <w:rPr>
                <w:rFonts w:cs="Arial"/>
                <w:b/>
                <w:color w:val="000000"/>
                <w:szCs w:val="20"/>
              </w:rPr>
            </w:pPr>
            <w:r w:rsidRPr="00A02AA1">
              <w:rPr>
                <w:rFonts w:cs="Arial"/>
                <w:b/>
                <w:color w:val="000000"/>
                <w:szCs w:val="20"/>
              </w:rPr>
              <w:t>Travel by Bus</w:t>
            </w:r>
          </w:p>
          <w:p w14:paraId="392467B6" w14:textId="3C6AA708" w:rsidR="00A02AA1" w:rsidRPr="00A02AA1" w:rsidRDefault="00AF2F6F" w:rsidP="00C047FF">
            <w:pPr>
              <w:pStyle w:val="Normaltable"/>
              <w:keepNext/>
              <w:jc w:val="center"/>
              <w:rPr>
                <w:rFonts w:cs="Arial"/>
                <w:b/>
                <w:color w:val="000000"/>
                <w:szCs w:val="20"/>
              </w:rPr>
            </w:pPr>
            <w:r>
              <w:rPr>
                <w:rFonts w:cs="Arial"/>
                <w:b/>
                <w:color w:val="000000"/>
                <w:szCs w:val="20"/>
              </w:rPr>
              <w:t>(N=</w:t>
            </w:r>
            <w:r w:rsidR="00C24B77">
              <w:rPr>
                <w:rFonts w:cs="Arial"/>
                <w:b/>
                <w:color w:val="000000"/>
                <w:szCs w:val="20"/>
              </w:rPr>
              <w:t>1,216</w:t>
            </w:r>
            <w:r>
              <w:rPr>
                <w:rFonts w:cs="Arial"/>
                <w:b/>
                <w:color w:val="000000"/>
                <w:szCs w:val="20"/>
              </w:rPr>
              <w:t>)</w:t>
            </w:r>
          </w:p>
        </w:tc>
      </w:tr>
      <w:tr w:rsidR="00A02AA1" w:rsidRPr="000A2328" w14:paraId="22582F70" w14:textId="77777777" w:rsidTr="00C047FF">
        <w:tc>
          <w:tcPr>
            <w:tcW w:w="2537" w:type="dxa"/>
            <w:vMerge/>
            <w:tcBorders>
              <w:bottom w:val="single" w:sz="4" w:space="0" w:color="000000" w:themeColor="text1"/>
            </w:tcBorders>
            <w:shd w:val="clear" w:color="auto" w:fill="auto"/>
            <w:noWrap/>
            <w:hideMark/>
          </w:tcPr>
          <w:p w14:paraId="05631AA5" w14:textId="77777777" w:rsidR="00A02AA1" w:rsidRPr="00A02AA1" w:rsidRDefault="00A02AA1" w:rsidP="00C047FF">
            <w:pPr>
              <w:pStyle w:val="Normaltable"/>
              <w:keepNext/>
              <w:rPr>
                <w:rFonts w:cs="Arial"/>
                <w:b/>
                <w:szCs w:val="20"/>
                <w:lang w:eastAsia="en-AU"/>
              </w:rPr>
            </w:pPr>
          </w:p>
        </w:tc>
        <w:tc>
          <w:tcPr>
            <w:tcW w:w="1039" w:type="dxa"/>
            <w:tcBorders>
              <w:bottom w:val="single" w:sz="4" w:space="0" w:color="000000" w:themeColor="text1"/>
            </w:tcBorders>
            <w:shd w:val="clear" w:color="auto" w:fill="auto"/>
            <w:noWrap/>
            <w:tcMar>
              <w:left w:w="28" w:type="dxa"/>
              <w:right w:w="28" w:type="dxa"/>
            </w:tcMar>
          </w:tcPr>
          <w:p w14:paraId="4601D2AE" w14:textId="77777777" w:rsidR="00A02AA1" w:rsidRPr="00A02AA1" w:rsidRDefault="00A02AA1" w:rsidP="00C047FF">
            <w:pPr>
              <w:pStyle w:val="Normaltable"/>
              <w:keepNext/>
              <w:jc w:val="center"/>
              <w:rPr>
                <w:rFonts w:cs="Arial"/>
                <w:b/>
                <w:color w:val="000000"/>
                <w:szCs w:val="20"/>
                <w:lang w:eastAsia="en-AU"/>
              </w:rPr>
            </w:pPr>
            <w:r w:rsidRPr="00A02AA1">
              <w:rPr>
                <w:rFonts w:cs="Arial"/>
                <w:b/>
                <w:color w:val="000000"/>
                <w:szCs w:val="20"/>
              </w:rPr>
              <w:t>Mean</w:t>
            </w:r>
          </w:p>
        </w:tc>
        <w:tc>
          <w:tcPr>
            <w:tcW w:w="1040" w:type="dxa"/>
            <w:tcBorders>
              <w:bottom w:val="single" w:sz="4" w:space="0" w:color="000000" w:themeColor="text1"/>
            </w:tcBorders>
            <w:shd w:val="clear" w:color="auto" w:fill="auto"/>
            <w:noWrap/>
            <w:tcMar>
              <w:left w:w="28" w:type="dxa"/>
              <w:right w:w="28" w:type="dxa"/>
            </w:tcMar>
          </w:tcPr>
          <w:p w14:paraId="4EFC3387" w14:textId="77777777" w:rsidR="00A02AA1" w:rsidRPr="00A02AA1" w:rsidRDefault="00A02AA1" w:rsidP="00C047FF">
            <w:pPr>
              <w:pStyle w:val="Normaltable"/>
              <w:keepNext/>
              <w:jc w:val="center"/>
              <w:rPr>
                <w:rFonts w:cs="Arial"/>
                <w:b/>
                <w:color w:val="000000"/>
                <w:szCs w:val="20"/>
              </w:rPr>
            </w:pPr>
            <w:r w:rsidRPr="00A02AA1">
              <w:rPr>
                <w:rFonts w:cs="Arial"/>
                <w:b/>
                <w:color w:val="000000"/>
                <w:szCs w:val="20"/>
              </w:rPr>
              <w:t>Coeffi</w:t>
            </w:r>
            <w:r w:rsidRPr="00A02AA1">
              <w:rPr>
                <w:rFonts w:cs="Arial"/>
                <w:b/>
                <w:color w:val="000000"/>
                <w:szCs w:val="20"/>
              </w:rPr>
              <w:softHyphen/>
              <w:t>cient of Variation</w:t>
            </w:r>
          </w:p>
        </w:tc>
        <w:tc>
          <w:tcPr>
            <w:tcW w:w="1039" w:type="dxa"/>
            <w:tcBorders>
              <w:bottom w:val="single" w:sz="4" w:space="0" w:color="000000" w:themeColor="text1"/>
            </w:tcBorders>
            <w:shd w:val="clear" w:color="auto" w:fill="auto"/>
            <w:noWrap/>
            <w:tcMar>
              <w:left w:w="28" w:type="dxa"/>
              <w:right w:w="28" w:type="dxa"/>
            </w:tcMar>
          </w:tcPr>
          <w:p w14:paraId="3C51A579" w14:textId="77777777" w:rsidR="00A02AA1" w:rsidRPr="00A02AA1" w:rsidRDefault="00A02AA1" w:rsidP="00C047FF">
            <w:pPr>
              <w:pStyle w:val="Normaltable"/>
              <w:keepNext/>
              <w:jc w:val="center"/>
              <w:rPr>
                <w:rFonts w:cs="Arial"/>
                <w:b/>
                <w:color w:val="000000"/>
                <w:szCs w:val="20"/>
                <w:lang w:eastAsia="en-AU"/>
              </w:rPr>
            </w:pPr>
            <w:r w:rsidRPr="00A02AA1">
              <w:rPr>
                <w:rFonts w:cs="Arial"/>
                <w:b/>
                <w:color w:val="000000"/>
                <w:szCs w:val="20"/>
              </w:rPr>
              <w:t>Mean</w:t>
            </w:r>
          </w:p>
        </w:tc>
        <w:tc>
          <w:tcPr>
            <w:tcW w:w="1040" w:type="dxa"/>
            <w:tcBorders>
              <w:bottom w:val="single" w:sz="4" w:space="0" w:color="000000" w:themeColor="text1"/>
            </w:tcBorders>
            <w:shd w:val="clear" w:color="auto" w:fill="auto"/>
          </w:tcPr>
          <w:p w14:paraId="2345EE39" w14:textId="77777777" w:rsidR="00A02AA1" w:rsidRPr="00A02AA1" w:rsidRDefault="00A02AA1" w:rsidP="00C047FF">
            <w:pPr>
              <w:pStyle w:val="Normaltable"/>
              <w:keepNext/>
              <w:jc w:val="center"/>
              <w:rPr>
                <w:rFonts w:cs="Arial"/>
                <w:b/>
                <w:color w:val="000000"/>
                <w:szCs w:val="20"/>
              </w:rPr>
            </w:pPr>
            <w:r w:rsidRPr="00A02AA1">
              <w:rPr>
                <w:rFonts w:cs="Arial"/>
                <w:b/>
                <w:color w:val="000000"/>
                <w:szCs w:val="20"/>
              </w:rPr>
              <w:t>Coeffi</w:t>
            </w:r>
            <w:r w:rsidRPr="00A02AA1">
              <w:rPr>
                <w:rFonts w:cs="Arial"/>
                <w:b/>
                <w:color w:val="000000"/>
                <w:szCs w:val="20"/>
              </w:rPr>
              <w:softHyphen/>
              <w:t>cient of Variation</w:t>
            </w:r>
          </w:p>
        </w:tc>
        <w:tc>
          <w:tcPr>
            <w:tcW w:w="1039" w:type="dxa"/>
            <w:tcBorders>
              <w:bottom w:val="single" w:sz="4" w:space="0" w:color="000000" w:themeColor="text1"/>
            </w:tcBorders>
            <w:shd w:val="clear" w:color="auto" w:fill="auto"/>
          </w:tcPr>
          <w:p w14:paraId="4CD0BD53" w14:textId="77777777" w:rsidR="00A02AA1" w:rsidRPr="00A02AA1" w:rsidRDefault="00A02AA1" w:rsidP="00C047FF">
            <w:pPr>
              <w:pStyle w:val="Normaltable"/>
              <w:keepNext/>
              <w:jc w:val="center"/>
              <w:rPr>
                <w:rFonts w:cs="Arial"/>
                <w:b/>
                <w:color w:val="000000"/>
                <w:szCs w:val="20"/>
                <w:lang w:eastAsia="en-AU"/>
              </w:rPr>
            </w:pPr>
            <w:r w:rsidRPr="00A02AA1">
              <w:rPr>
                <w:rFonts w:cs="Arial"/>
                <w:b/>
                <w:color w:val="000000"/>
                <w:szCs w:val="20"/>
              </w:rPr>
              <w:t>Mean</w:t>
            </w:r>
          </w:p>
        </w:tc>
        <w:tc>
          <w:tcPr>
            <w:tcW w:w="1040" w:type="dxa"/>
            <w:tcBorders>
              <w:bottom w:val="single" w:sz="4" w:space="0" w:color="000000" w:themeColor="text1"/>
            </w:tcBorders>
            <w:tcMar>
              <w:left w:w="28" w:type="dxa"/>
              <w:right w:w="28" w:type="dxa"/>
            </w:tcMar>
          </w:tcPr>
          <w:p w14:paraId="7EFBF0F7" w14:textId="77777777" w:rsidR="00A02AA1" w:rsidRPr="00A02AA1" w:rsidRDefault="00A02AA1" w:rsidP="00C047FF">
            <w:pPr>
              <w:pStyle w:val="Normaltable"/>
              <w:keepNext/>
              <w:jc w:val="center"/>
              <w:rPr>
                <w:rFonts w:cs="Arial"/>
                <w:b/>
                <w:color w:val="000000"/>
                <w:szCs w:val="20"/>
              </w:rPr>
            </w:pPr>
            <w:r w:rsidRPr="00A02AA1">
              <w:rPr>
                <w:rFonts w:cs="Arial"/>
                <w:b/>
                <w:color w:val="000000"/>
                <w:szCs w:val="20"/>
              </w:rPr>
              <w:t>Coeffi</w:t>
            </w:r>
            <w:r w:rsidRPr="00A02AA1">
              <w:rPr>
                <w:rFonts w:cs="Arial"/>
                <w:b/>
                <w:color w:val="000000"/>
                <w:szCs w:val="20"/>
              </w:rPr>
              <w:softHyphen/>
              <w:t>cient of Variation</w:t>
            </w:r>
          </w:p>
        </w:tc>
      </w:tr>
      <w:tr w:rsidR="00A02AA1" w:rsidRPr="000A2328" w14:paraId="0E599E1B"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2C20B155" w14:textId="77777777" w:rsidR="00A02AA1" w:rsidRPr="00A02AA1" w:rsidRDefault="00A02AA1" w:rsidP="00C047FF">
            <w:pPr>
              <w:pStyle w:val="Normaltable"/>
              <w:keepNext/>
              <w:rPr>
                <w:rFonts w:cs="Arial"/>
                <w:szCs w:val="20"/>
              </w:rPr>
            </w:pPr>
            <w:r w:rsidRPr="00A02AA1">
              <w:rPr>
                <w:rFonts w:cs="Arial"/>
                <w:szCs w:val="20"/>
              </w:rPr>
              <w:t>Travel time</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7D3FD4F4" w14:textId="77777777" w:rsidR="00A02AA1" w:rsidRPr="00A02AA1" w:rsidRDefault="00A02AA1" w:rsidP="00C047FF">
            <w:pPr>
              <w:pStyle w:val="Normaltable"/>
              <w:keepNext/>
              <w:jc w:val="center"/>
              <w:rPr>
                <w:rFonts w:cs="Arial"/>
                <w:szCs w:val="20"/>
              </w:rPr>
            </w:pPr>
            <w:r w:rsidRPr="00A02AA1">
              <w:rPr>
                <w:rFonts w:cs="Arial"/>
                <w:szCs w:val="20"/>
              </w:rPr>
              <w:t>3.07</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14D994FF" w14:textId="77777777" w:rsidR="00A02AA1" w:rsidRPr="00A02AA1" w:rsidRDefault="00A02AA1" w:rsidP="00C047FF">
            <w:pPr>
              <w:pStyle w:val="Normaltable"/>
              <w:keepNext/>
              <w:jc w:val="center"/>
              <w:rPr>
                <w:rFonts w:cs="Arial"/>
                <w:szCs w:val="20"/>
              </w:rPr>
            </w:pPr>
            <w:r w:rsidRPr="00A02AA1">
              <w:rPr>
                <w:rFonts w:cs="Arial"/>
                <w:szCs w:val="20"/>
              </w:rPr>
              <w:t>0.44</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7A35B3F4" w14:textId="77777777" w:rsidR="00A02AA1" w:rsidRPr="00A02AA1" w:rsidRDefault="00A02AA1" w:rsidP="00C047FF">
            <w:pPr>
              <w:pStyle w:val="Normaltable"/>
              <w:keepNext/>
              <w:jc w:val="center"/>
              <w:rPr>
                <w:rFonts w:cs="Arial"/>
                <w:szCs w:val="20"/>
              </w:rPr>
            </w:pPr>
            <w:r w:rsidRPr="00A02AA1">
              <w:rPr>
                <w:rFonts w:cs="Arial"/>
                <w:szCs w:val="20"/>
              </w:rPr>
              <w:t>3.00</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7945961E" w14:textId="77777777" w:rsidR="00A02AA1" w:rsidRPr="00A02AA1" w:rsidRDefault="00A02AA1" w:rsidP="00C047FF">
            <w:pPr>
              <w:pStyle w:val="Normaltable"/>
              <w:keepNext/>
              <w:jc w:val="center"/>
              <w:rPr>
                <w:rFonts w:cs="Arial"/>
                <w:szCs w:val="20"/>
              </w:rPr>
            </w:pPr>
            <w:r w:rsidRPr="00A02AA1">
              <w:rPr>
                <w:rFonts w:cs="Arial"/>
                <w:szCs w:val="20"/>
              </w:rPr>
              <w:t>0.44</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7D9CEE1D" w14:textId="77777777" w:rsidR="00A02AA1" w:rsidRPr="00A02AA1" w:rsidRDefault="00A02AA1" w:rsidP="00C047FF">
            <w:pPr>
              <w:pStyle w:val="Normaltable"/>
              <w:keepNext/>
              <w:jc w:val="center"/>
              <w:rPr>
                <w:rFonts w:cs="Arial"/>
                <w:szCs w:val="20"/>
              </w:rPr>
            </w:pPr>
            <w:r w:rsidRPr="00A02AA1">
              <w:rPr>
                <w:rFonts w:cs="Arial"/>
                <w:szCs w:val="20"/>
              </w:rPr>
              <w:t>3.53</w:t>
            </w:r>
          </w:p>
        </w:tc>
        <w:tc>
          <w:tcPr>
            <w:tcW w:w="1040" w:type="dxa"/>
            <w:tcBorders>
              <w:top w:val="single" w:sz="4" w:space="0" w:color="BFBFBF" w:themeColor="background1" w:themeShade="BF"/>
              <w:bottom w:val="single" w:sz="4" w:space="0" w:color="BFBFBF" w:themeColor="background1" w:themeShade="BF"/>
            </w:tcBorders>
            <w:vAlign w:val="center"/>
          </w:tcPr>
          <w:p w14:paraId="0867BA10" w14:textId="77777777" w:rsidR="00A02AA1" w:rsidRPr="00A02AA1" w:rsidRDefault="00A02AA1" w:rsidP="00C047FF">
            <w:pPr>
              <w:pStyle w:val="Normaltable"/>
              <w:keepNext/>
              <w:jc w:val="center"/>
              <w:rPr>
                <w:rFonts w:cs="Arial"/>
                <w:szCs w:val="20"/>
              </w:rPr>
            </w:pPr>
            <w:r w:rsidRPr="00A02AA1">
              <w:rPr>
                <w:rFonts w:cs="Arial"/>
                <w:szCs w:val="20"/>
              </w:rPr>
              <w:t>0.34</w:t>
            </w:r>
          </w:p>
        </w:tc>
      </w:tr>
      <w:tr w:rsidR="00A02AA1" w:rsidRPr="000A2328" w14:paraId="5FD4D16A"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1F131E51" w14:textId="77777777" w:rsidR="00A02AA1" w:rsidRPr="00A02AA1" w:rsidRDefault="00A02AA1" w:rsidP="00C047FF">
            <w:pPr>
              <w:pStyle w:val="Normaltable"/>
              <w:keepNext/>
              <w:rPr>
                <w:rFonts w:cs="Arial"/>
                <w:szCs w:val="20"/>
              </w:rPr>
            </w:pPr>
            <w:r w:rsidRPr="00A02AA1">
              <w:rPr>
                <w:rFonts w:cs="Arial"/>
                <w:szCs w:val="20"/>
              </w:rPr>
              <w:t>Cost</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3B7EDF38" w14:textId="77777777" w:rsidR="00A02AA1" w:rsidRPr="00A02AA1" w:rsidRDefault="00A02AA1" w:rsidP="00C047FF">
            <w:pPr>
              <w:pStyle w:val="Normaltable"/>
              <w:keepNext/>
              <w:jc w:val="center"/>
              <w:rPr>
                <w:rFonts w:cs="Arial"/>
                <w:szCs w:val="20"/>
              </w:rPr>
            </w:pPr>
            <w:r w:rsidRPr="00A02AA1">
              <w:rPr>
                <w:rFonts w:cs="Arial"/>
                <w:szCs w:val="20"/>
              </w:rPr>
              <w:t>3.10</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0D46405D" w14:textId="77777777" w:rsidR="00A02AA1" w:rsidRPr="00A02AA1" w:rsidRDefault="00A02AA1" w:rsidP="00C047FF">
            <w:pPr>
              <w:pStyle w:val="Normaltable"/>
              <w:keepNext/>
              <w:jc w:val="center"/>
              <w:rPr>
                <w:rFonts w:cs="Arial"/>
                <w:szCs w:val="20"/>
              </w:rPr>
            </w:pPr>
            <w:r w:rsidRPr="00A02AA1">
              <w:rPr>
                <w:rFonts w:cs="Arial"/>
                <w:szCs w:val="20"/>
              </w:rPr>
              <w:t>0.38</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5B1FDB2B" w14:textId="77777777" w:rsidR="00A02AA1" w:rsidRPr="00A02AA1" w:rsidRDefault="00A02AA1" w:rsidP="00C047FF">
            <w:pPr>
              <w:pStyle w:val="Normaltable"/>
              <w:keepNext/>
              <w:jc w:val="center"/>
              <w:rPr>
                <w:rFonts w:cs="Arial"/>
                <w:szCs w:val="20"/>
              </w:rPr>
            </w:pPr>
            <w:r w:rsidRPr="00A02AA1">
              <w:rPr>
                <w:rFonts w:cs="Arial"/>
                <w:szCs w:val="20"/>
              </w:rPr>
              <w:t>1.81</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7027E0FA" w14:textId="77777777" w:rsidR="00A02AA1" w:rsidRPr="00A02AA1" w:rsidRDefault="00A02AA1" w:rsidP="00C047FF">
            <w:pPr>
              <w:pStyle w:val="Normaltable"/>
              <w:keepNext/>
              <w:jc w:val="center"/>
              <w:rPr>
                <w:rFonts w:cs="Arial"/>
                <w:szCs w:val="20"/>
              </w:rPr>
            </w:pPr>
            <w:r w:rsidRPr="00A02AA1">
              <w:rPr>
                <w:rFonts w:cs="Arial"/>
                <w:szCs w:val="20"/>
              </w:rPr>
              <w:t>0.61</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44EEC74A" w14:textId="77777777" w:rsidR="00A02AA1" w:rsidRPr="00A02AA1" w:rsidRDefault="00A02AA1" w:rsidP="00C047FF">
            <w:pPr>
              <w:pStyle w:val="Normaltable"/>
              <w:keepNext/>
              <w:jc w:val="center"/>
              <w:rPr>
                <w:rFonts w:cs="Arial"/>
                <w:szCs w:val="20"/>
              </w:rPr>
            </w:pPr>
            <w:r w:rsidRPr="00A02AA1">
              <w:rPr>
                <w:rFonts w:cs="Arial"/>
                <w:szCs w:val="20"/>
              </w:rPr>
              <w:t>2.50</w:t>
            </w:r>
          </w:p>
        </w:tc>
        <w:tc>
          <w:tcPr>
            <w:tcW w:w="1040" w:type="dxa"/>
            <w:tcBorders>
              <w:top w:val="single" w:sz="4" w:space="0" w:color="BFBFBF" w:themeColor="background1" w:themeShade="BF"/>
              <w:bottom w:val="single" w:sz="4" w:space="0" w:color="BFBFBF" w:themeColor="background1" w:themeShade="BF"/>
            </w:tcBorders>
            <w:vAlign w:val="center"/>
          </w:tcPr>
          <w:p w14:paraId="17602E16" w14:textId="77777777" w:rsidR="00A02AA1" w:rsidRPr="00A02AA1" w:rsidRDefault="00A02AA1" w:rsidP="00C047FF">
            <w:pPr>
              <w:pStyle w:val="Normaltable"/>
              <w:keepNext/>
              <w:jc w:val="center"/>
              <w:rPr>
                <w:rFonts w:cs="Arial"/>
                <w:szCs w:val="20"/>
              </w:rPr>
            </w:pPr>
            <w:r w:rsidRPr="00A02AA1">
              <w:rPr>
                <w:rFonts w:cs="Arial"/>
                <w:szCs w:val="20"/>
              </w:rPr>
              <w:t>0.47</w:t>
            </w:r>
          </w:p>
        </w:tc>
      </w:tr>
      <w:tr w:rsidR="00A02AA1" w:rsidRPr="000A2328" w14:paraId="6AD284C4"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0272BE08" w14:textId="77777777" w:rsidR="00A02AA1" w:rsidRPr="00A02AA1" w:rsidRDefault="00A02AA1" w:rsidP="00C047FF">
            <w:pPr>
              <w:pStyle w:val="Normaltable"/>
              <w:keepNext/>
              <w:rPr>
                <w:rFonts w:cs="Arial"/>
                <w:szCs w:val="20"/>
              </w:rPr>
            </w:pPr>
            <w:r w:rsidRPr="00A02AA1">
              <w:rPr>
                <w:rFonts w:cs="Arial"/>
                <w:szCs w:val="20"/>
              </w:rPr>
              <w:t>Road safety</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06F0E950" w14:textId="77777777" w:rsidR="00A02AA1" w:rsidRPr="00A02AA1" w:rsidRDefault="00A02AA1" w:rsidP="00C047FF">
            <w:pPr>
              <w:pStyle w:val="Normaltable"/>
              <w:keepNext/>
              <w:jc w:val="center"/>
              <w:rPr>
                <w:rFonts w:cs="Arial"/>
                <w:szCs w:val="20"/>
              </w:rPr>
            </w:pPr>
            <w:r w:rsidRPr="00A02AA1">
              <w:rPr>
                <w:rFonts w:cs="Arial"/>
                <w:szCs w:val="20"/>
              </w:rPr>
              <w:t>4.23</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63336294" w14:textId="77777777" w:rsidR="00A02AA1" w:rsidRPr="00A02AA1" w:rsidRDefault="00A02AA1" w:rsidP="00C047FF">
            <w:pPr>
              <w:pStyle w:val="Normaltable"/>
              <w:keepNext/>
              <w:jc w:val="center"/>
              <w:rPr>
                <w:rFonts w:cs="Arial"/>
                <w:szCs w:val="20"/>
              </w:rPr>
            </w:pPr>
            <w:r w:rsidRPr="00A02AA1">
              <w:rPr>
                <w:rFonts w:cs="Arial"/>
                <w:szCs w:val="20"/>
              </w:rPr>
              <w:t>0.25</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4559A14C" w14:textId="77777777" w:rsidR="00A02AA1" w:rsidRPr="00A02AA1" w:rsidRDefault="00A02AA1" w:rsidP="00C047FF">
            <w:pPr>
              <w:pStyle w:val="Normaltable"/>
              <w:keepNext/>
              <w:jc w:val="center"/>
              <w:rPr>
                <w:rFonts w:cs="Arial"/>
                <w:szCs w:val="20"/>
              </w:rPr>
            </w:pPr>
            <w:r w:rsidRPr="00A02AA1">
              <w:rPr>
                <w:rFonts w:cs="Arial"/>
                <w:szCs w:val="20"/>
              </w:rPr>
              <w:t>3.61</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1A8DAD7D" w14:textId="77777777" w:rsidR="00A02AA1" w:rsidRPr="00A02AA1" w:rsidRDefault="00A02AA1" w:rsidP="00C047FF">
            <w:pPr>
              <w:pStyle w:val="Normaltable"/>
              <w:keepNext/>
              <w:jc w:val="center"/>
              <w:rPr>
                <w:rFonts w:cs="Arial"/>
                <w:szCs w:val="20"/>
              </w:rPr>
            </w:pPr>
            <w:r w:rsidRPr="00A02AA1">
              <w:rPr>
                <w:rFonts w:cs="Arial"/>
                <w:szCs w:val="20"/>
              </w:rPr>
              <w:t>0.36</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484555D3" w14:textId="77777777" w:rsidR="00A02AA1" w:rsidRPr="00A02AA1" w:rsidRDefault="00A02AA1" w:rsidP="00C047FF">
            <w:pPr>
              <w:pStyle w:val="Normaltable"/>
              <w:keepNext/>
              <w:jc w:val="center"/>
              <w:rPr>
                <w:rFonts w:cs="Arial"/>
                <w:szCs w:val="20"/>
              </w:rPr>
            </w:pPr>
            <w:r w:rsidRPr="00A02AA1">
              <w:rPr>
                <w:rFonts w:cs="Arial"/>
                <w:szCs w:val="20"/>
              </w:rPr>
              <w:t>3.32</w:t>
            </w:r>
          </w:p>
        </w:tc>
        <w:tc>
          <w:tcPr>
            <w:tcW w:w="1040" w:type="dxa"/>
            <w:tcBorders>
              <w:top w:val="single" w:sz="4" w:space="0" w:color="BFBFBF" w:themeColor="background1" w:themeShade="BF"/>
              <w:bottom w:val="single" w:sz="4" w:space="0" w:color="BFBFBF" w:themeColor="background1" w:themeShade="BF"/>
            </w:tcBorders>
            <w:vAlign w:val="center"/>
          </w:tcPr>
          <w:p w14:paraId="26FA4915" w14:textId="77777777" w:rsidR="00A02AA1" w:rsidRPr="00A02AA1" w:rsidRDefault="00A02AA1" w:rsidP="00C047FF">
            <w:pPr>
              <w:pStyle w:val="Normaltable"/>
              <w:keepNext/>
              <w:jc w:val="center"/>
              <w:rPr>
                <w:rFonts w:cs="Arial"/>
                <w:szCs w:val="20"/>
              </w:rPr>
            </w:pPr>
            <w:r w:rsidRPr="00A02AA1">
              <w:rPr>
                <w:rFonts w:cs="Arial"/>
                <w:szCs w:val="20"/>
              </w:rPr>
              <w:t>0.43</w:t>
            </w:r>
          </w:p>
        </w:tc>
      </w:tr>
      <w:tr w:rsidR="00A02AA1" w:rsidRPr="000A2328" w14:paraId="298A6B65"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293C40C0" w14:textId="77777777" w:rsidR="00A02AA1" w:rsidRPr="00A02AA1" w:rsidRDefault="00A02AA1" w:rsidP="00C047FF">
            <w:pPr>
              <w:pStyle w:val="Normaltable"/>
              <w:keepNext/>
              <w:rPr>
                <w:rFonts w:cs="Arial"/>
                <w:szCs w:val="20"/>
              </w:rPr>
            </w:pPr>
            <w:r w:rsidRPr="00A02AA1">
              <w:rPr>
                <w:rFonts w:cs="Arial"/>
                <w:szCs w:val="20"/>
              </w:rPr>
              <w:t>Personal security</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078CCECF" w14:textId="77777777" w:rsidR="00A02AA1" w:rsidRPr="00A02AA1" w:rsidRDefault="00A02AA1" w:rsidP="00C047FF">
            <w:pPr>
              <w:pStyle w:val="Normaltable"/>
              <w:keepNext/>
              <w:jc w:val="center"/>
              <w:rPr>
                <w:rFonts w:cs="Arial"/>
                <w:szCs w:val="20"/>
              </w:rPr>
            </w:pPr>
            <w:r w:rsidRPr="00A02AA1">
              <w:rPr>
                <w:rFonts w:cs="Arial"/>
                <w:szCs w:val="20"/>
              </w:rPr>
              <w:t>3.41</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3FE6927F" w14:textId="77777777" w:rsidR="00A02AA1" w:rsidRPr="00A02AA1" w:rsidRDefault="00A02AA1" w:rsidP="00C047FF">
            <w:pPr>
              <w:pStyle w:val="Normaltable"/>
              <w:keepNext/>
              <w:jc w:val="center"/>
              <w:rPr>
                <w:rFonts w:cs="Arial"/>
                <w:szCs w:val="20"/>
              </w:rPr>
            </w:pPr>
            <w:r w:rsidRPr="00A02AA1">
              <w:rPr>
                <w:rFonts w:cs="Arial"/>
                <w:szCs w:val="20"/>
              </w:rPr>
              <w:t>0.40</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0B8EEDED" w14:textId="77777777" w:rsidR="00A02AA1" w:rsidRPr="00A02AA1" w:rsidRDefault="00A02AA1" w:rsidP="00C047FF">
            <w:pPr>
              <w:pStyle w:val="Normaltable"/>
              <w:keepNext/>
              <w:jc w:val="center"/>
              <w:rPr>
                <w:rFonts w:cs="Arial"/>
                <w:szCs w:val="20"/>
              </w:rPr>
            </w:pPr>
            <w:r w:rsidRPr="00A02AA1">
              <w:rPr>
                <w:rFonts w:cs="Arial"/>
                <w:szCs w:val="20"/>
              </w:rPr>
              <w:t>3.05</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054A6422" w14:textId="77777777" w:rsidR="00A02AA1" w:rsidRPr="00A02AA1" w:rsidRDefault="00A02AA1" w:rsidP="00C047FF">
            <w:pPr>
              <w:pStyle w:val="Normaltable"/>
              <w:keepNext/>
              <w:jc w:val="center"/>
              <w:rPr>
                <w:rFonts w:cs="Arial"/>
                <w:szCs w:val="20"/>
              </w:rPr>
            </w:pPr>
            <w:r w:rsidRPr="00A02AA1">
              <w:rPr>
                <w:rFonts w:cs="Arial"/>
                <w:szCs w:val="20"/>
              </w:rPr>
              <w:t>0.47</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11F02753" w14:textId="77777777" w:rsidR="00A02AA1" w:rsidRPr="00A02AA1" w:rsidRDefault="00A02AA1" w:rsidP="00C047FF">
            <w:pPr>
              <w:pStyle w:val="Normaltable"/>
              <w:keepNext/>
              <w:jc w:val="center"/>
              <w:rPr>
                <w:rFonts w:cs="Arial"/>
                <w:szCs w:val="20"/>
              </w:rPr>
            </w:pPr>
            <w:r w:rsidRPr="00A02AA1">
              <w:rPr>
                <w:rFonts w:cs="Arial"/>
                <w:szCs w:val="20"/>
              </w:rPr>
              <w:t>3.97</w:t>
            </w:r>
          </w:p>
        </w:tc>
        <w:tc>
          <w:tcPr>
            <w:tcW w:w="1040" w:type="dxa"/>
            <w:tcBorders>
              <w:top w:val="single" w:sz="4" w:space="0" w:color="BFBFBF" w:themeColor="background1" w:themeShade="BF"/>
              <w:bottom w:val="single" w:sz="4" w:space="0" w:color="BFBFBF" w:themeColor="background1" w:themeShade="BF"/>
            </w:tcBorders>
            <w:vAlign w:val="center"/>
          </w:tcPr>
          <w:p w14:paraId="45214CC1" w14:textId="77777777" w:rsidR="00A02AA1" w:rsidRPr="00A02AA1" w:rsidRDefault="00A02AA1" w:rsidP="00C047FF">
            <w:pPr>
              <w:pStyle w:val="Normaltable"/>
              <w:keepNext/>
              <w:jc w:val="center"/>
              <w:rPr>
                <w:rFonts w:cs="Arial"/>
                <w:szCs w:val="20"/>
              </w:rPr>
            </w:pPr>
            <w:r w:rsidRPr="00A02AA1">
              <w:rPr>
                <w:rFonts w:cs="Arial"/>
                <w:szCs w:val="20"/>
              </w:rPr>
              <w:t>0.27</w:t>
            </w:r>
          </w:p>
        </w:tc>
      </w:tr>
      <w:tr w:rsidR="00A02AA1" w:rsidRPr="000A2328" w14:paraId="68455967"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3E46CF05" w14:textId="77777777" w:rsidR="00A02AA1" w:rsidRPr="00A02AA1" w:rsidRDefault="00A02AA1" w:rsidP="00C047FF">
            <w:pPr>
              <w:pStyle w:val="Normaltable"/>
              <w:keepNext/>
              <w:rPr>
                <w:rFonts w:cs="Arial"/>
                <w:szCs w:val="20"/>
              </w:rPr>
            </w:pPr>
            <w:r w:rsidRPr="00A02AA1">
              <w:rPr>
                <w:rFonts w:cs="Arial"/>
                <w:szCs w:val="20"/>
              </w:rPr>
              <w:t>Environment benefit</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3D80B7AD" w14:textId="77777777" w:rsidR="00A02AA1" w:rsidRPr="00A02AA1" w:rsidRDefault="00A02AA1" w:rsidP="00C047FF">
            <w:pPr>
              <w:pStyle w:val="Normaltable"/>
              <w:keepNext/>
              <w:jc w:val="center"/>
              <w:rPr>
                <w:rFonts w:cs="Arial"/>
                <w:szCs w:val="20"/>
              </w:rPr>
            </w:pPr>
            <w:r w:rsidRPr="00A02AA1">
              <w:rPr>
                <w:rFonts w:cs="Arial"/>
                <w:szCs w:val="20"/>
              </w:rPr>
              <w:t>3.22</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0E133EEB" w14:textId="77777777" w:rsidR="00A02AA1" w:rsidRPr="00A02AA1" w:rsidRDefault="00A02AA1" w:rsidP="00C047FF">
            <w:pPr>
              <w:pStyle w:val="Normaltable"/>
              <w:keepNext/>
              <w:jc w:val="center"/>
              <w:rPr>
                <w:rFonts w:cs="Arial"/>
                <w:szCs w:val="20"/>
              </w:rPr>
            </w:pPr>
            <w:r w:rsidRPr="00A02AA1">
              <w:rPr>
                <w:rFonts w:cs="Arial"/>
                <w:szCs w:val="20"/>
              </w:rPr>
              <w:t>0.34</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13617366" w14:textId="77777777" w:rsidR="00A02AA1" w:rsidRPr="00A02AA1" w:rsidRDefault="00A02AA1" w:rsidP="00C047FF">
            <w:pPr>
              <w:pStyle w:val="Normaltable"/>
              <w:keepNext/>
              <w:jc w:val="center"/>
              <w:rPr>
                <w:rFonts w:cs="Arial"/>
                <w:szCs w:val="20"/>
              </w:rPr>
            </w:pPr>
            <w:r w:rsidRPr="00A02AA1">
              <w:rPr>
                <w:rFonts w:cs="Arial"/>
                <w:szCs w:val="20"/>
              </w:rPr>
              <w:t>2.30</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1C94C21C" w14:textId="77777777" w:rsidR="00A02AA1" w:rsidRPr="00A02AA1" w:rsidRDefault="00A02AA1" w:rsidP="00C047FF">
            <w:pPr>
              <w:pStyle w:val="Normaltable"/>
              <w:keepNext/>
              <w:jc w:val="center"/>
              <w:rPr>
                <w:rFonts w:cs="Arial"/>
                <w:szCs w:val="20"/>
              </w:rPr>
            </w:pPr>
            <w:r w:rsidRPr="00A02AA1">
              <w:rPr>
                <w:rFonts w:cs="Arial"/>
                <w:szCs w:val="20"/>
              </w:rPr>
              <w:t>0.55</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11E76C8A" w14:textId="77777777" w:rsidR="00A02AA1" w:rsidRPr="00A02AA1" w:rsidRDefault="00A02AA1" w:rsidP="00C047FF">
            <w:pPr>
              <w:pStyle w:val="Normaltable"/>
              <w:keepNext/>
              <w:jc w:val="center"/>
              <w:rPr>
                <w:rFonts w:cs="Arial"/>
                <w:szCs w:val="20"/>
              </w:rPr>
            </w:pPr>
            <w:r w:rsidRPr="00A02AA1">
              <w:rPr>
                <w:rFonts w:cs="Arial"/>
                <w:szCs w:val="20"/>
              </w:rPr>
              <w:t>2.90</w:t>
            </w:r>
          </w:p>
        </w:tc>
        <w:tc>
          <w:tcPr>
            <w:tcW w:w="1040" w:type="dxa"/>
            <w:tcBorders>
              <w:top w:val="single" w:sz="4" w:space="0" w:color="BFBFBF" w:themeColor="background1" w:themeShade="BF"/>
              <w:bottom w:val="single" w:sz="4" w:space="0" w:color="BFBFBF" w:themeColor="background1" w:themeShade="BF"/>
            </w:tcBorders>
            <w:vAlign w:val="center"/>
          </w:tcPr>
          <w:p w14:paraId="763B9EBB" w14:textId="77777777" w:rsidR="00A02AA1" w:rsidRPr="00A02AA1" w:rsidRDefault="00A02AA1" w:rsidP="00C047FF">
            <w:pPr>
              <w:pStyle w:val="Normaltable"/>
              <w:keepNext/>
              <w:jc w:val="center"/>
              <w:rPr>
                <w:rFonts w:cs="Arial"/>
                <w:szCs w:val="20"/>
              </w:rPr>
            </w:pPr>
            <w:r w:rsidRPr="00A02AA1">
              <w:rPr>
                <w:rFonts w:cs="Arial"/>
                <w:szCs w:val="20"/>
              </w:rPr>
              <w:t>0.40</w:t>
            </w:r>
          </w:p>
        </w:tc>
      </w:tr>
      <w:tr w:rsidR="00A02AA1" w:rsidRPr="000A2328" w14:paraId="6A7391F9"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4783ACCB" w14:textId="77777777" w:rsidR="00A02AA1" w:rsidRPr="00A02AA1" w:rsidRDefault="00A02AA1" w:rsidP="00C047FF">
            <w:pPr>
              <w:pStyle w:val="Normaltable"/>
              <w:keepNext/>
              <w:rPr>
                <w:rFonts w:cs="Arial"/>
                <w:szCs w:val="20"/>
              </w:rPr>
            </w:pPr>
            <w:r w:rsidRPr="00A02AA1">
              <w:rPr>
                <w:rFonts w:cs="Arial"/>
                <w:szCs w:val="20"/>
              </w:rPr>
              <w:t>Flexibility</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2188C290" w14:textId="77777777" w:rsidR="00A02AA1" w:rsidRPr="00A02AA1" w:rsidRDefault="00A02AA1" w:rsidP="00C047FF">
            <w:pPr>
              <w:pStyle w:val="Normaltable"/>
              <w:keepNext/>
              <w:jc w:val="center"/>
              <w:rPr>
                <w:rFonts w:cs="Arial"/>
                <w:szCs w:val="20"/>
              </w:rPr>
            </w:pPr>
            <w:r w:rsidRPr="00A02AA1">
              <w:rPr>
                <w:rFonts w:cs="Arial"/>
                <w:szCs w:val="20"/>
              </w:rPr>
              <w:t>2.75</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169CC77C" w14:textId="77777777" w:rsidR="00A02AA1" w:rsidRPr="00A02AA1" w:rsidRDefault="00A02AA1" w:rsidP="00C047FF">
            <w:pPr>
              <w:pStyle w:val="Normaltable"/>
              <w:keepNext/>
              <w:jc w:val="center"/>
              <w:rPr>
                <w:rFonts w:cs="Arial"/>
                <w:szCs w:val="20"/>
              </w:rPr>
            </w:pPr>
            <w:r w:rsidRPr="00A02AA1">
              <w:rPr>
                <w:rFonts w:cs="Arial"/>
                <w:szCs w:val="20"/>
              </w:rPr>
              <w:t>0.52</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179DAA3B" w14:textId="77777777" w:rsidR="00A02AA1" w:rsidRPr="00A02AA1" w:rsidRDefault="00A02AA1" w:rsidP="00C047FF">
            <w:pPr>
              <w:pStyle w:val="Normaltable"/>
              <w:keepNext/>
              <w:jc w:val="center"/>
              <w:rPr>
                <w:rFonts w:cs="Arial"/>
                <w:szCs w:val="20"/>
              </w:rPr>
            </w:pPr>
            <w:r w:rsidRPr="00A02AA1">
              <w:rPr>
                <w:rFonts w:cs="Arial"/>
                <w:szCs w:val="20"/>
              </w:rPr>
              <w:t>2.67</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1698462B" w14:textId="77777777" w:rsidR="00A02AA1" w:rsidRPr="00A02AA1" w:rsidRDefault="00A02AA1" w:rsidP="00C047FF">
            <w:pPr>
              <w:pStyle w:val="Normaltable"/>
              <w:keepNext/>
              <w:jc w:val="center"/>
              <w:rPr>
                <w:rFonts w:cs="Arial"/>
                <w:szCs w:val="20"/>
              </w:rPr>
            </w:pPr>
            <w:r w:rsidRPr="00A02AA1">
              <w:rPr>
                <w:rFonts w:cs="Arial"/>
                <w:szCs w:val="20"/>
              </w:rPr>
              <w:t>0.44</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6AC8A3F4" w14:textId="77777777" w:rsidR="00A02AA1" w:rsidRPr="00A02AA1" w:rsidRDefault="00A02AA1" w:rsidP="00C047FF">
            <w:pPr>
              <w:pStyle w:val="Normaltable"/>
              <w:keepNext/>
              <w:jc w:val="center"/>
              <w:rPr>
                <w:rFonts w:cs="Arial"/>
                <w:szCs w:val="20"/>
              </w:rPr>
            </w:pPr>
            <w:r w:rsidRPr="00A02AA1">
              <w:rPr>
                <w:rFonts w:cs="Arial"/>
                <w:szCs w:val="20"/>
              </w:rPr>
              <w:t>3.39</w:t>
            </w:r>
          </w:p>
        </w:tc>
        <w:tc>
          <w:tcPr>
            <w:tcW w:w="1040" w:type="dxa"/>
            <w:tcBorders>
              <w:top w:val="single" w:sz="4" w:space="0" w:color="BFBFBF" w:themeColor="background1" w:themeShade="BF"/>
              <w:bottom w:val="single" w:sz="4" w:space="0" w:color="BFBFBF" w:themeColor="background1" w:themeShade="BF"/>
            </w:tcBorders>
            <w:vAlign w:val="center"/>
          </w:tcPr>
          <w:p w14:paraId="2E46BAA8" w14:textId="77777777" w:rsidR="00A02AA1" w:rsidRPr="00A02AA1" w:rsidRDefault="00A02AA1" w:rsidP="00C047FF">
            <w:pPr>
              <w:pStyle w:val="Normaltable"/>
              <w:keepNext/>
              <w:jc w:val="center"/>
              <w:rPr>
                <w:rFonts w:cs="Arial"/>
                <w:szCs w:val="20"/>
              </w:rPr>
            </w:pPr>
            <w:r w:rsidRPr="00A02AA1">
              <w:rPr>
                <w:rFonts w:cs="Arial"/>
                <w:szCs w:val="20"/>
              </w:rPr>
              <w:t>0.32</w:t>
            </w:r>
          </w:p>
        </w:tc>
      </w:tr>
      <w:tr w:rsidR="00A02AA1" w:rsidRPr="000A2328" w14:paraId="1744BE2E"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6EB40094" w14:textId="77777777" w:rsidR="00A02AA1" w:rsidRPr="00A02AA1" w:rsidRDefault="00A02AA1" w:rsidP="00C047FF">
            <w:pPr>
              <w:pStyle w:val="Normaltable"/>
              <w:keepNext/>
              <w:rPr>
                <w:rFonts w:cs="Arial"/>
                <w:szCs w:val="20"/>
              </w:rPr>
            </w:pPr>
            <w:r w:rsidRPr="00A02AA1">
              <w:rPr>
                <w:rFonts w:cs="Arial"/>
                <w:szCs w:val="20"/>
              </w:rPr>
              <w:t>Ease of carrying goods</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0A872907" w14:textId="77777777" w:rsidR="00A02AA1" w:rsidRPr="00A02AA1" w:rsidRDefault="00A02AA1" w:rsidP="00C047FF">
            <w:pPr>
              <w:pStyle w:val="Normaltable"/>
              <w:keepNext/>
              <w:jc w:val="center"/>
              <w:rPr>
                <w:rFonts w:cs="Arial"/>
                <w:szCs w:val="20"/>
              </w:rPr>
            </w:pPr>
            <w:r w:rsidRPr="00A02AA1">
              <w:rPr>
                <w:rFonts w:cs="Arial"/>
                <w:szCs w:val="20"/>
              </w:rPr>
              <w:t>2.43</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7E3D9D5F" w14:textId="77777777" w:rsidR="00A02AA1" w:rsidRPr="00A02AA1" w:rsidRDefault="00A02AA1" w:rsidP="00C047FF">
            <w:pPr>
              <w:pStyle w:val="Normaltable"/>
              <w:keepNext/>
              <w:jc w:val="center"/>
              <w:rPr>
                <w:rFonts w:cs="Arial"/>
                <w:szCs w:val="20"/>
              </w:rPr>
            </w:pPr>
            <w:r w:rsidRPr="00A02AA1">
              <w:rPr>
                <w:rFonts w:cs="Arial"/>
                <w:szCs w:val="20"/>
              </w:rPr>
              <w:t>0.52</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1CCB4FAF" w14:textId="77777777" w:rsidR="00A02AA1" w:rsidRPr="00A02AA1" w:rsidRDefault="00A02AA1" w:rsidP="00C047FF">
            <w:pPr>
              <w:pStyle w:val="Normaltable"/>
              <w:keepNext/>
              <w:jc w:val="center"/>
              <w:rPr>
                <w:rFonts w:cs="Arial"/>
                <w:szCs w:val="20"/>
              </w:rPr>
            </w:pPr>
            <w:r w:rsidRPr="00A02AA1">
              <w:rPr>
                <w:rFonts w:cs="Arial"/>
                <w:szCs w:val="20"/>
              </w:rPr>
              <w:t>2.38</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3EBC9DF4" w14:textId="77777777" w:rsidR="00A02AA1" w:rsidRPr="00A02AA1" w:rsidRDefault="00A02AA1" w:rsidP="00C047FF">
            <w:pPr>
              <w:pStyle w:val="Normaltable"/>
              <w:keepNext/>
              <w:jc w:val="center"/>
              <w:rPr>
                <w:rFonts w:cs="Arial"/>
                <w:szCs w:val="20"/>
              </w:rPr>
            </w:pPr>
            <w:r w:rsidRPr="00A02AA1">
              <w:rPr>
                <w:rFonts w:cs="Arial"/>
                <w:szCs w:val="20"/>
              </w:rPr>
              <w:t>0.47</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65046804" w14:textId="77777777" w:rsidR="00A02AA1" w:rsidRPr="00A02AA1" w:rsidRDefault="00A02AA1" w:rsidP="00C047FF">
            <w:pPr>
              <w:pStyle w:val="Normaltable"/>
              <w:keepNext/>
              <w:jc w:val="center"/>
              <w:rPr>
                <w:rFonts w:cs="Arial"/>
                <w:szCs w:val="20"/>
              </w:rPr>
            </w:pPr>
            <w:r w:rsidRPr="00A02AA1">
              <w:rPr>
                <w:rFonts w:cs="Arial"/>
                <w:szCs w:val="20"/>
              </w:rPr>
              <w:t>2.78</w:t>
            </w:r>
          </w:p>
        </w:tc>
        <w:tc>
          <w:tcPr>
            <w:tcW w:w="1040" w:type="dxa"/>
            <w:tcBorders>
              <w:top w:val="single" w:sz="4" w:space="0" w:color="BFBFBF" w:themeColor="background1" w:themeShade="BF"/>
              <w:bottom w:val="single" w:sz="4" w:space="0" w:color="BFBFBF" w:themeColor="background1" w:themeShade="BF"/>
            </w:tcBorders>
            <w:vAlign w:val="center"/>
          </w:tcPr>
          <w:p w14:paraId="75173B24" w14:textId="77777777" w:rsidR="00A02AA1" w:rsidRPr="00A02AA1" w:rsidRDefault="00A02AA1" w:rsidP="00C047FF">
            <w:pPr>
              <w:pStyle w:val="Normaltable"/>
              <w:keepNext/>
              <w:jc w:val="center"/>
              <w:rPr>
                <w:rFonts w:cs="Arial"/>
                <w:szCs w:val="20"/>
              </w:rPr>
            </w:pPr>
            <w:r w:rsidRPr="00A02AA1">
              <w:rPr>
                <w:rFonts w:cs="Arial"/>
                <w:szCs w:val="20"/>
              </w:rPr>
              <w:t>0.44</w:t>
            </w:r>
          </w:p>
        </w:tc>
      </w:tr>
      <w:tr w:rsidR="00A02AA1" w:rsidRPr="000A2328" w14:paraId="156C3759"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4340A5FB" w14:textId="77777777" w:rsidR="00A02AA1" w:rsidRPr="00A02AA1" w:rsidRDefault="00A02AA1" w:rsidP="00C047FF">
            <w:pPr>
              <w:pStyle w:val="Normaltable"/>
              <w:keepNext/>
              <w:rPr>
                <w:rFonts w:cs="Arial"/>
                <w:szCs w:val="20"/>
              </w:rPr>
            </w:pPr>
            <w:r w:rsidRPr="00A02AA1">
              <w:rPr>
                <w:rFonts w:cs="Arial"/>
                <w:szCs w:val="20"/>
              </w:rPr>
              <w:t>Personal space</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222C5BA9" w14:textId="77777777" w:rsidR="00A02AA1" w:rsidRPr="00A02AA1" w:rsidRDefault="00A02AA1" w:rsidP="00C047FF">
            <w:pPr>
              <w:pStyle w:val="Normaltable"/>
              <w:keepNext/>
              <w:jc w:val="center"/>
              <w:rPr>
                <w:rFonts w:cs="Arial"/>
                <w:szCs w:val="20"/>
              </w:rPr>
            </w:pPr>
            <w:r w:rsidRPr="00A02AA1">
              <w:rPr>
                <w:rFonts w:cs="Arial"/>
                <w:szCs w:val="20"/>
              </w:rPr>
              <w:t>2.37</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1AC53531" w14:textId="77777777" w:rsidR="00A02AA1" w:rsidRPr="00A02AA1" w:rsidRDefault="00A02AA1" w:rsidP="00C047FF">
            <w:pPr>
              <w:pStyle w:val="Normaltable"/>
              <w:keepNext/>
              <w:jc w:val="center"/>
              <w:rPr>
                <w:rFonts w:cs="Arial"/>
                <w:szCs w:val="20"/>
              </w:rPr>
            </w:pPr>
            <w:r w:rsidRPr="00A02AA1">
              <w:rPr>
                <w:rFonts w:cs="Arial"/>
                <w:szCs w:val="20"/>
              </w:rPr>
              <w:t>0.52</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1A9667A1" w14:textId="77777777" w:rsidR="00A02AA1" w:rsidRPr="00A02AA1" w:rsidRDefault="00A02AA1" w:rsidP="00C047FF">
            <w:pPr>
              <w:pStyle w:val="Normaltable"/>
              <w:keepNext/>
              <w:jc w:val="center"/>
              <w:rPr>
                <w:rFonts w:cs="Arial"/>
                <w:szCs w:val="20"/>
              </w:rPr>
            </w:pPr>
            <w:r w:rsidRPr="00A02AA1">
              <w:rPr>
                <w:rFonts w:cs="Arial"/>
                <w:szCs w:val="20"/>
              </w:rPr>
              <w:t>2.34</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17124244" w14:textId="77777777" w:rsidR="00A02AA1" w:rsidRPr="00A02AA1" w:rsidRDefault="00A02AA1" w:rsidP="00C047FF">
            <w:pPr>
              <w:pStyle w:val="Normaltable"/>
              <w:keepNext/>
              <w:jc w:val="center"/>
              <w:rPr>
                <w:rFonts w:cs="Arial"/>
                <w:szCs w:val="20"/>
              </w:rPr>
            </w:pPr>
            <w:r w:rsidRPr="00A02AA1">
              <w:rPr>
                <w:rFonts w:cs="Arial"/>
                <w:szCs w:val="20"/>
              </w:rPr>
              <w:t>0.50</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3284D5B7" w14:textId="77777777" w:rsidR="00A02AA1" w:rsidRPr="00A02AA1" w:rsidRDefault="00A02AA1" w:rsidP="00C047FF">
            <w:pPr>
              <w:pStyle w:val="Normaltable"/>
              <w:keepNext/>
              <w:jc w:val="center"/>
              <w:rPr>
                <w:rFonts w:cs="Arial"/>
                <w:szCs w:val="20"/>
              </w:rPr>
            </w:pPr>
            <w:r w:rsidRPr="00A02AA1">
              <w:rPr>
                <w:rFonts w:cs="Arial"/>
                <w:szCs w:val="20"/>
              </w:rPr>
              <w:t>3.42</w:t>
            </w:r>
          </w:p>
        </w:tc>
        <w:tc>
          <w:tcPr>
            <w:tcW w:w="1040" w:type="dxa"/>
            <w:tcBorders>
              <w:top w:val="single" w:sz="4" w:space="0" w:color="BFBFBF" w:themeColor="background1" w:themeShade="BF"/>
              <w:bottom w:val="single" w:sz="4" w:space="0" w:color="BFBFBF" w:themeColor="background1" w:themeShade="BF"/>
            </w:tcBorders>
            <w:vAlign w:val="center"/>
          </w:tcPr>
          <w:p w14:paraId="2D078B00" w14:textId="77777777" w:rsidR="00A02AA1" w:rsidRPr="00A02AA1" w:rsidRDefault="00A02AA1" w:rsidP="00C047FF">
            <w:pPr>
              <w:pStyle w:val="Normaltable"/>
              <w:keepNext/>
              <w:jc w:val="center"/>
              <w:rPr>
                <w:rFonts w:cs="Arial"/>
                <w:szCs w:val="20"/>
              </w:rPr>
            </w:pPr>
            <w:r w:rsidRPr="00A02AA1">
              <w:rPr>
                <w:rFonts w:cs="Arial"/>
                <w:szCs w:val="20"/>
              </w:rPr>
              <w:t>0.32</w:t>
            </w:r>
          </w:p>
        </w:tc>
      </w:tr>
      <w:tr w:rsidR="00A02AA1" w:rsidRPr="000A2328" w14:paraId="4B12F23A"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73941B95" w14:textId="77777777" w:rsidR="00A02AA1" w:rsidRPr="00A02AA1" w:rsidRDefault="00A02AA1" w:rsidP="00C047FF">
            <w:pPr>
              <w:pStyle w:val="Normaltable"/>
              <w:keepNext/>
              <w:rPr>
                <w:rFonts w:cs="Arial"/>
                <w:szCs w:val="20"/>
              </w:rPr>
            </w:pPr>
            <w:r w:rsidRPr="00A02AA1">
              <w:rPr>
                <w:rFonts w:cs="Arial"/>
                <w:szCs w:val="20"/>
              </w:rPr>
              <w:t>Reliability</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13F3238F" w14:textId="77777777" w:rsidR="00A02AA1" w:rsidRPr="00A02AA1" w:rsidRDefault="00A02AA1" w:rsidP="00C047FF">
            <w:pPr>
              <w:pStyle w:val="Normaltable"/>
              <w:keepNext/>
              <w:jc w:val="center"/>
              <w:rPr>
                <w:rFonts w:cs="Arial"/>
                <w:szCs w:val="20"/>
              </w:rPr>
            </w:pPr>
            <w:r w:rsidRPr="00A02AA1">
              <w:rPr>
                <w:rFonts w:cs="Arial"/>
                <w:szCs w:val="20"/>
              </w:rPr>
              <w:t>2.82</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71A7E54F" w14:textId="77777777" w:rsidR="00A02AA1" w:rsidRPr="00A02AA1" w:rsidRDefault="00A02AA1" w:rsidP="00C047FF">
            <w:pPr>
              <w:pStyle w:val="Normaltable"/>
              <w:keepNext/>
              <w:jc w:val="center"/>
              <w:rPr>
                <w:rFonts w:cs="Arial"/>
                <w:szCs w:val="20"/>
              </w:rPr>
            </w:pPr>
            <w:r w:rsidRPr="00A02AA1">
              <w:rPr>
                <w:rFonts w:cs="Arial"/>
                <w:szCs w:val="20"/>
              </w:rPr>
              <w:t>0.48</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51150906" w14:textId="77777777" w:rsidR="00A02AA1" w:rsidRPr="00A02AA1" w:rsidRDefault="00A02AA1" w:rsidP="00C047FF">
            <w:pPr>
              <w:pStyle w:val="Normaltable"/>
              <w:keepNext/>
              <w:jc w:val="center"/>
              <w:rPr>
                <w:rFonts w:cs="Arial"/>
                <w:szCs w:val="20"/>
              </w:rPr>
            </w:pPr>
            <w:r w:rsidRPr="00A02AA1">
              <w:rPr>
                <w:rFonts w:cs="Arial"/>
                <w:szCs w:val="20"/>
              </w:rPr>
              <w:t>3.02</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2F0818CD" w14:textId="77777777" w:rsidR="00A02AA1" w:rsidRPr="00A02AA1" w:rsidRDefault="00A02AA1" w:rsidP="00C047FF">
            <w:pPr>
              <w:pStyle w:val="Normaltable"/>
              <w:keepNext/>
              <w:jc w:val="center"/>
              <w:rPr>
                <w:rFonts w:cs="Arial"/>
                <w:szCs w:val="20"/>
              </w:rPr>
            </w:pPr>
            <w:r w:rsidRPr="00A02AA1">
              <w:rPr>
                <w:rFonts w:cs="Arial"/>
                <w:szCs w:val="20"/>
              </w:rPr>
              <w:t>0.38</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64AC4058" w14:textId="77777777" w:rsidR="00A02AA1" w:rsidRPr="00A02AA1" w:rsidRDefault="00A02AA1" w:rsidP="00C047FF">
            <w:pPr>
              <w:pStyle w:val="Normaltable"/>
              <w:keepNext/>
              <w:jc w:val="center"/>
              <w:rPr>
                <w:rFonts w:cs="Arial"/>
                <w:szCs w:val="20"/>
              </w:rPr>
            </w:pPr>
            <w:r w:rsidRPr="00A02AA1">
              <w:rPr>
                <w:rFonts w:cs="Arial"/>
                <w:szCs w:val="20"/>
              </w:rPr>
              <w:t>3.42</w:t>
            </w:r>
          </w:p>
        </w:tc>
        <w:tc>
          <w:tcPr>
            <w:tcW w:w="1040" w:type="dxa"/>
            <w:tcBorders>
              <w:top w:val="single" w:sz="4" w:space="0" w:color="BFBFBF" w:themeColor="background1" w:themeShade="BF"/>
              <w:bottom w:val="single" w:sz="4" w:space="0" w:color="BFBFBF" w:themeColor="background1" w:themeShade="BF"/>
            </w:tcBorders>
            <w:vAlign w:val="center"/>
          </w:tcPr>
          <w:p w14:paraId="3F2D61EF" w14:textId="77777777" w:rsidR="00A02AA1" w:rsidRPr="00A02AA1" w:rsidRDefault="00A02AA1" w:rsidP="00C047FF">
            <w:pPr>
              <w:pStyle w:val="Normaltable"/>
              <w:keepNext/>
              <w:jc w:val="center"/>
              <w:rPr>
                <w:rFonts w:cs="Arial"/>
                <w:szCs w:val="20"/>
              </w:rPr>
            </w:pPr>
            <w:r w:rsidRPr="00A02AA1">
              <w:rPr>
                <w:rFonts w:cs="Arial"/>
                <w:szCs w:val="20"/>
              </w:rPr>
              <w:t>0.33</w:t>
            </w:r>
          </w:p>
        </w:tc>
      </w:tr>
      <w:tr w:rsidR="00A02AA1" w:rsidRPr="000A2328" w14:paraId="23AA77E9"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30E38432" w14:textId="77777777" w:rsidR="00A02AA1" w:rsidRPr="00A02AA1" w:rsidRDefault="00A02AA1" w:rsidP="00C047FF">
            <w:pPr>
              <w:pStyle w:val="Normaltable"/>
              <w:keepNext/>
              <w:rPr>
                <w:rFonts w:cs="Arial"/>
                <w:szCs w:val="20"/>
              </w:rPr>
            </w:pPr>
            <w:r w:rsidRPr="00A02AA1">
              <w:rPr>
                <w:rFonts w:cs="Arial"/>
                <w:szCs w:val="20"/>
              </w:rPr>
              <w:t>Ease of accessing location</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235345F0" w14:textId="77777777" w:rsidR="00A02AA1" w:rsidRPr="00A02AA1" w:rsidRDefault="00A02AA1" w:rsidP="00C047FF">
            <w:pPr>
              <w:pStyle w:val="Normaltable"/>
              <w:keepNext/>
              <w:jc w:val="center"/>
              <w:rPr>
                <w:rFonts w:cs="Arial"/>
                <w:szCs w:val="20"/>
              </w:rPr>
            </w:pPr>
            <w:r w:rsidRPr="00A02AA1">
              <w:rPr>
                <w:rFonts w:cs="Arial"/>
                <w:szCs w:val="20"/>
              </w:rPr>
              <w:t>2.57</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4CAEBE83" w14:textId="77777777" w:rsidR="00A02AA1" w:rsidRPr="00A02AA1" w:rsidRDefault="00A02AA1" w:rsidP="00C047FF">
            <w:pPr>
              <w:pStyle w:val="Normaltable"/>
              <w:keepNext/>
              <w:jc w:val="center"/>
              <w:rPr>
                <w:rFonts w:cs="Arial"/>
                <w:szCs w:val="20"/>
              </w:rPr>
            </w:pPr>
            <w:r w:rsidRPr="00A02AA1">
              <w:rPr>
                <w:rFonts w:cs="Arial"/>
                <w:szCs w:val="20"/>
              </w:rPr>
              <w:t>0.57</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66CF7583" w14:textId="77777777" w:rsidR="00A02AA1" w:rsidRPr="00A02AA1" w:rsidRDefault="00A02AA1" w:rsidP="00C047FF">
            <w:pPr>
              <w:pStyle w:val="Normaltable"/>
              <w:keepNext/>
              <w:jc w:val="center"/>
              <w:rPr>
                <w:rFonts w:cs="Arial"/>
                <w:szCs w:val="20"/>
              </w:rPr>
            </w:pPr>
            <w:r w:rsidRPr="00A02AA1">
              <w:rPr>
                <w:rFonts w:cs="Arial"/>
                <w:szCs w:val="20"/>
              </w:rPr>
              <w:t>2.37</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3FDC1F32" w14:textId="77777777" w:rsidR="00A02AA1" w:rsidRPr="00A02AA1" w:rsidRDefault="00A02AA1" w:rsidP="00C047FF">
            <w:pPr>
              <w:pStyle w:val="Normaltable"/>
              <w:keepNext/>
              <w:jc w:val="center"/>
              <w:rPr>
                <w:rFonts w:cs="Arial"/>
                <w:szCs w:val="20"/>
              </w:rPr>
            </w:pPr>
            <w:r w:rsidRPr="00A02AA1">
              <w:rPr>
                <w:rFonts w:cs="Arial"/>
                <w:szCs w:val="20"/>
              </w:rPr>
              <w:t>0.57</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7AA59D9F" w14:textId="77777777" w:rsidR="00A02AA1" w:rsidRPr="00A02AA1" w:rsidRDefault="00A02AA1" w:rsidP="00C047FF">
            <w:pPr>
              <w:pStyle w:val="Normaltable"/>
              <w:keepNext/>
              <w:jc w:val="center"/>
              <w:rPr>
                <w:rFonts w:cs="Arial"/>
                <w:szCs w:val="20"/>
              </w:rPr>
            </w:pPr>
            <w:r w:rsidRPr="00A02AA1">
              <w:rPr>
                <w:rFonts w:cs="Arial"/>
                <w:szCs w:val="20"/>
              </w:rPr>
              <w:t>2.93</w:t>
            </w:r>
          </w:p>
        </w:tc>
        <w:tc>
          <w:tcPr>
            <w:tcW w:w="1040" w:type="dxa"/>
            <w:tcBorders>
              <w:top w:val="single" w:sz="4" w:space="0" w:color="BFBFBF" w:themeColor="background1" w:themeShade="BF"/>
              <w:bottom w:val="single" w:sz="4" w:space="0" w:color="BFBFBF" w:themeColor="background1" w:themeShade="BF"/>
            </w:tcBorders>
            <w:vAlign w:val="center"/>
          </w:tcPr>
          <w:p w14:paraId="3E9CE282" w14:textId="77777777" w:rsidR="00A02AA1" w:rsidRPr="00A02AA1" w:rsidRDefault="00A02AA1" w:rsidP="00C047FF">
            <w:pPr>
              <w:pStyle w:val="Normaltable"/>
              <w:keepNext/>
              <w:jc w:val="center"/>
              <w:rPr>
                <w:rFonts w:cs="Arial"/>
                <w:szCs w:val="20"/>
              </w:rPr>
            </w:pPr>
            <w:r w:rsidRPr="00A02AA1">
              <w:rPr>
                <w:rFonts w:cs="Arial"/>
                <w:szCs w:val="20"/>
              </w:rPr>
              <w:t>0.45</w:t>
            </w:r>
          </w:p>
        </w:tc>
      </w:tr>
      <w:tr w:rsidR="00A02AA1" w:rsidRPr="000A2328" w14:paraId="10ABE243"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5DC6E196" w14:textId="77777777" w:rsidR="00A02AA1" w:rsidRPr="00A02AA1" w:rsidRDefault="00A02AA1" w:rsidP="00C047FF">
            <w:pPr>
              <w:pStyle w:val="Normaltable"/>
              <w:keepNext/>
              <w:rPr>
                <w:rFonts w:cs="Arial"/>
                <w:szCs w:val="20"/>
              </w:rPr>
            </w:pPr>
            <w:r w:rsidRPr="00A02AA1">
              <w:rPr>
                <w:rFonts w:cs="Arial"/>
                <w:szCs w:val="20"/>
              </w:rPr>
              <w:t>Weather conditions</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31C91D52" w14:textId="77777777" w:rsidR="00A02AA1" w:rsidRPr="00A02AA1" w:rsidRDefault="00A02AA1" w:rsidP="00C047FF">
            <w:pPr>
              <w:pStyle w:val="Normaltable"/>
              <w:keepNext/>
              <w:jc w:val="center"/>
              <w:rPr>
                <w:rFonts w:cs="Arial"/>
                <w:szCs w:val="20"/>
              </w:rPr>
            </w:pPr>
            <w:r w:rsidRPr="00A02AA1">
              <w:rPr>
                <w:rFonts w:cs="Arial"/>
                <w:szCs w:val="20"/>
              </w:rPr>
              <w:t>3.58</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0B76A6DD" w14:textId="77777777" w:rsidR="00A02AA1" w:rsidRPr="00A02AA1" w:rsidRDefault="00A02AA1" w:rsidP="00C047FF">
            <w:pPr>
              <w:pStyle w:val="Normaltable"/>
              <w:keepNext/>
              <w:jc w:val="center"/>
              <w:rPr>
                <w:rFonts w:cs="Arial"/>
                <w:szCs w:val="20"/>
              </w:rPr>
            </w:pPr>
            <w:r w:rsidRPr="00A02AA1">
              <w:rPr>
                <w:rFonts w:cs="Arial"/>
                <w:szCs w:val="20"/>
              </w:rPr>
              <w:t>0.30</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61EC181E" w14:textId="77777777" w:rsidR="00A02AA1" w:rsidRPr="00A02AA1" w:rsidRDefault="00A02AA1" w:rsidP="00C047FF">
            <w:pPr>
              <w:pStyle w:val="Normaltable"/>
              <w:keepNext/>
              <w:jc w:val="center"/>
              <w:rPr>
                <w:rFonts w:cs="Arial"/>
                <w:szCs w:val="20"/>
              </w:rPr>
            </w:pPr>
            <w:r w:rsidRPr="00A02AA1">
              <w:rPr>
                <w:rFonts w:cs="Arial"/>
                <w:szCs w:val="20"/>
              </w:rPr>
              <w:t>3.57</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39661AB4" w14:textId="77777777" w:rsidR="00A02AA1" w:rsidRPr="00A02AA1" w:rsidRDefault="00A02AA1" w:rsidP="00C047FF">
            <w:pPr>
              <w:pStyle w:val="Normaltable"/>
              <w:keepNext/>
              <w:jc w:val="center"/>
              <w:rPr>
                <w:rFonts w:cs="Arial"/>
                <w:szCs w:val="20"/>
              </w:rPr>
            </w:pPr>
            <w:r w:rsidRPr="00A02AA1">
              <w:rPr>
                <w:rFonts w:cs="Arial"/>
                <w:szCs w:val="20"/>
              </w:rPr>
              <w:t>0.30</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1D1B4322" w14:textId="77777777" w:rsidR="00A02AA1" w:rsidRPr="00A02AA1" w:rsidRDefault="00A02AA1" w:rsidP="00C047FF">
            <w:pPr>
              <w:pStyle w:val="Normaltable"/>
              <w:keepNext/>
              <w:jc w:val="center"/>
              <w:rPr>
                <w:rFonts w:cs="Arial"/>
                <w:szCs w:val="20"/>
              </w:rPr>
            </w:pPr>
            <w:r w:rsidRPr="00A02AA1">
              <w:rPr>
                <w:rFonts w:cs="Arial"/>
                <w:szCs w:val="20"/>
              </w:rPr>
              <w:t>2.64</w:t>
            </w:r>
          </w:p>
        </w:tc>
        <w:tc>
          <w:tcPr>
            <w:tcW w:w="1040" w:type="dxa"/>
            <w:tcBorders>
              <w:top w:val="single" w:sz="4" w:space="0" w:color="BFBFBF" w:themeColor="background1" w:themeShade="BF"/>
              <w:bottom w:val="single" w:sz="4" w:space="0" w:color="BFBFBF" w:themeColor="background1" w:themeShade="BF"/>
            </w:tcBorders>
            <w:vAlign w:val="center"/>
          </w:tcPr>
          <w:p w14:paraId="39EB3DBA" w14:textId="77777777" w:rsidR="00A02AA1" w:rsidRPr="00A02AA1" w:rsidRDefault="00A02AA1" w:rsidP="00C047FF">
            <w:pPr>
              <w:pStyle w:val="Normaltable"/>
              <w:keepNext/>
              <w:jc w:val="center"/>
              <w:rPr>
                <w:rFonts w:cs="Arial"/>
                <w:szCs w:val="20"/>
              </w:rPr>
            </w:pPr>
            <w:r w:rsidRPr="00A02AA1">
              <w:rPr>
                <w:rFonts w:cs="Arial"/>
                <w:szCs w:val="20"/>
              </w:rPr>
              <w:t>0.46</w:t>
            </w:r>
          </w:p>
        </w:tc>
      </w:tr>
      <w:tr w:rsidR="00A02AA1" w:rsidRPr="000A2328" w14:paraId="3E820ACF"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2D13E814" w14:textId="77777777" w:rsidR="00A02AA1" w:rsidRPr="00A02AA1" w:rsidRDefault="00A02AA1" w:rsidP="00C047FF">
            <w:pPr>
              <w:pStyle w:val="Normaltable"/>
              <w:keepNext/>
              <w:rPr>
                <w:rFonts w:cs="Arial"/>
                <w:szCs w:val="20"/>
              </w:rPr>
            </w:pPr>
            <w:r w:rsidRPr="00A02AA1">
              <w:rPr>
                <w:rFonts w:cs="Arial"/>
                <w:szCs w:val="20"/>
              </w:rPr>
              <w:t>Heavy traffic conditions</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6FBB0288" w14:textId="77777777" w:rsidR="00A02AA1" w:rsidRPr="00A02AA1" w:rsidRDefault="00A02AA1" w:rsidP="00C047FF">
            <w:pPr>
              <w:pStyle w:val="Normaltable"/>
              <w:keepNext/>
              <w:jc w:val="center"/>
              <w:rPr>
                <w:rFonts w:cs="Arial"/>
                <w:szCs w:val="20"/>
              </w:rPr>
            </w:pPr>
            <w:r w:rsidRPr="00A02AA1">
              <w:rPr>
                <w:rFonts w:cs="Arial"/>
                <w:szCs w:val="20"/>
              </w:rPr>
              <w:t>3.90</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745D0F3E" w14:textId="77777777" w:rsidR="00A02AA1" w:rsidRPr="00A02AA1" w:rsidRDefault="00A02AA1" w:rsidP="00C047FF">
            <w:pPr>
              <w:pStyle w:val="Normaltable"/>
              <w:keepNext/>
              <w:jc w:val="center"/>
              <w:rPr>
                <w:rFonts w:cs="Arial"/>
                <w:szCs w:val="20"/>
              </w:rPr>
            </w:pPr>
            <w:r w:rsidRPr="00A02AA1">
              <w:rPr>
                <w:rFonts w:cs="Arial"/>
                <w:szCs w:val="20"/>
              </w:rPr>
              <w:t>0.27</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311EB6D5" w14:textId="77777777" w:rsidR="00A02AA1" w:rsidRPr="00A02AA1" w:rsidRDefault="00A02AA1" w:rsidP="00C047FF">
            <w:pPr>
              <w:pStyle w:val="Normaltable"/>
              <w:keepNext/>
              <w:jc w:val="center"/>
              <w:rPr>
                <w:rFonts w:cs="Arial"/>
                <w:szCs w:val="20"/>
              </w:rPr>
            </w:pPr>
            <w:r w:rsidRPr="00A02AA1">
              <w:rPr>
                <w:rFonts w:cs="Arial"/>
                <w:szCs w:val="20"/>
              </w:rPr>
              <w:t>3.25</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0258E638" w14:textId="77777777" w:rsidR="00A02AA1" w:rsidRPr="00A02AA1" w:rsidRDefault="00A02AA1" w:rsidP="00C047FF">
            <w:pPr>
              <w:pStyle w:val="Normaltable"/>
              <w:keepNext/>
              <w:jc w:val="center"/>
              <w:rPr>
                <w:rFonts w:cs="Arial"/>
                <w:szCs w:val="20"/>
              </w:rPr>
            </w:pPr>
            <w:r w:rsidRPr="00A02AA1">
              <w:rPr>
                <w:rFonts w:cs="Arial"/>
                <w:szCs w:val="20"/>
              </w:rPr>
              <w:t>0.40</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2784A7D8" w14:textId="77777777" w:rsidR="00A02AA1" w:rsidRPr="00A02AA1" w:rsidRDefault="00A02AA1" w:rsidP="00C047FF">
            <w:pPr>
              <w:pStyle w:val="Normaltable"/>
              <w:keepNext/>
              <w:jc w:val="center"/>
              <w:rPr>
                <w:rFonts w:cs="Arial"/>
                <w:szCs w:val="20"/>
              </w:rPr>
            </w:pPr>
            <w:r w:rsidRPr="00A02AA1">
              <w:rPr>
                <w:rFonts w:cs="Arial"/>
                <w:szCs w:val="20"/>
              </w:rPr>
              <w:t>3.35</w:t>
            </w:r>
          </w:p>
        </w:tc>
        <w:tc>
          <w:tcPr>
            <w:tcW w:w="1040" w:type="dxa"/>
            <w:tcBorders>
              <w:top w:val="single" w:sz="4" w:space="0" w:color="BFBFBF" w:themeColor="background1" w:themeShade="BF"/>
              <w:bottom w:val="single" w:sz="4" w:space="0" w:color="BFBFBF" w:themeColor="background1" w:themeShade="BF"/>
            </w:tcBorders>
            <w:vAlign w:val="center"/>
          </w:tcPr>
          <w:p w14:paraId="2727D779" w14:textId="77777777" w:rsidR="00A02AA1" w:rsidRPr="00A02AA1" w:rsidRDefault="00A02AA1" w:rsidP="00C047FF">
            <w:pPr>
              <w:pStyle w:val="Normaltable"/>
              <w:keepNext/>
              <w:jc w:val="center"/>
              <w:rPr>
                <w:rFonts w:cs="Arial"/>
                <w:szCs w:val="20"/>
              </w:rPr>
            </w:pPr>
            <w:r w:rsidRPr="00A02AA1">
              <w:rPr>
                <w:rFonts w:cs="Arial"/>
                <w:szCs w:val="20"/>
              </w:rPr>
              <w:t>0.41</w:t>
            </w:r>
          </w:p>
        </w:tc>
      </w:tr>
      <w:tr w:rsidR="00A02AA1" w:rsidRPr="000A2328" w14:paraId="6B3FEB58"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1DE5767A" w14:textId="77777777" w:rsidR="00A02AA1" w:rsidRPr="00A02AA1" w:rsidRDefault="00A02AA1" w:rsidP="00C047FF">
            <w:pPr>
              <w:pStyle w:val="Normaltable"/>
              <w:keepNext/>
              <w:rPr>
                <w:rFonts w:cs="Arial"/>
                <w:szCs w:val="20"/>
              </w:rPr>
            </w:pPr>
            <w:r w:rsidRPr="00A02AA1">
              <w:rPr>
                <w:rFonts w:cs="Arial"/>
                <w:szCs w:val="20"/>
              </w:rPr>
              <w:t>Stress experienced while driving</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06FEE08B" w14:textId="77777777" w:rsidR="00A02AA1" w:rsidRPr="00A02AA1" w:rsidRDefault="00A02AA1" w:rsidP="00C047FF">
            <w:pPr>
              <w:pStyle w:val="Normaltable"/>
              <w:keepNext/>
              <w:jc w:val="center"/>
              <w:rPr>
                <w:rFonts w:cs="Arial"/>
                <w:szCs w:val="20"/>
              </w:rPr>
            </w:pPr>
            <w:r w:rsidRPr="00A02AA1">
              <w:rPr>
                <w:rFonts w:cs="Arial"/>
                <w:szCs w:val="20"/>
              </w:rPr>
              <w:t>2.89</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7AF8ED23" w14:textId="77777777" w:rsidR="00A02AA1" w:rsidRPr="00A02AA1" w:rsidRDefault="00A02AA1" w:rsidP="00C047FF">
            <w:pPr>
              <w:pStyle w:val="Normaltable"/>
              <w:keepNext/>
              <w:jc w:val="center"/>
              <w:rPr>
                <w:rFonts w:cs="Arial"/>
                <w:szCs w:val="20"/>
              </w:rPr>
            </w:pPr>
            <w:r w:rsidRPr="00A02AA1">
              <w:rPr>
                <w:rFonts w:cs="Arial"/>
                <w:szCs w:val="20"/>
              </w:rPr>
              <w:t>0.45</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3AAE6435" w14:textId="77777777" w:rsidR="00A02AA1" w:rsidRPr="00A02AA1" w:rsidRDefault="00A02AA1" w:rsidP="00C047FF">
            <w:pPr>
              <w:pStyle w:val="Normaltable"/>
              <w:keepNext/>
              <w:jc w:val="center"/>
              <w:rPr>
                <w:rFonts w:cs="Arial"/>
                <w:szCs w:val="20"/>
              </w:rPr>
            </w:pPr>
            <w:r w:rsidRPr="00A02AA1">
              <w:rPr>
                <w:rFonts w:cs="Arial"/>
                <w:szCs w:val="20"/>
              </w:rPr>
              <w:t>2.26</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4F470EE8" w14:textId="77777777" w:rsidR="00A02AA1" w:rsidRPr="00A02AA1" w:rsidRDefault="00A02AA1" w:rsidP="00C047FF">
            <w:pPr>
              <w:pStyle w:val="Normaltable"/>
              <w:keepNext/>
              <w:jc w:val="center"/>
              <w:rPr>
                <w:rFonts w:cs="Arial"/>
                <w:szCs w:val="20"/>
              </w:rPr>
            </w:pPr>
            <w:r w:rsidRPr="00A02AA1">
              <w:rPr>
                <w:rFonts w:cs="Arial"/>
                <w:szCs w:val="20"/>
              </w:rPr>
              <w:t>0.53</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7413C952" w14:textId="77777777" w:rsidR="00A02AA1" w:rsidRPr="00A02AA1" w:rsidRDefault="00A02AA1" w:rsidP="00C047FF">
            <w:pPr>
              <w:pStyle w:val="Normaltable"/>
              <w:keepNext/>
              <w:jc w:val="center"/>
              <w:rPr>
                <w:rFonts w:cs="Arial"/>
                <w:szCs w:val="20"/>
              </w:rPr>
            </w:pPr>
          </w:p>
        </w:tc>
        <w:tc>
          <w:tcPr>
            <w:tcW w:w="1040" w:type="dxa"/>
            <w:tcBorders>
              <w:top w:val="single" w:sz="4" w:space="0" w:color="BFBFBF" w:themeColor="background1" w:themeShade="BF"/>
              <w:bottom w:val="single" w:sz="4" w:space="0" w:color="BFBFBF" w:themeColor="background1" w:themeShade="BF"/>
            </w:tcBorders>
            <w:vAlign w:val="center"/>
          </w:tcPr>
          <w:p w14:paraId="361F5656" w14:textId="77777777" w:rsidR="00A02AA1" w:rsidRPr="00A02AA1" w:rsidRDefault="00A02AA1" w:rsidP="00C047FF">
            <w:pPr>
              <w:pStyle w:val="Normaltable"/>
              <w:keepNext/>
              <w:jc w:val="center"/>
              <w:rPr>
                <w:rFonts w:cs="Arial"/>
                <w:szCs w:val="20"/>
              </w:rPr>
            </w:pPr>
          </w:p>
        </w:tc>
      </w:tr>
      <w:tr w:rsidR="00A02AA1" w:rsidRPr="000A2328" w14:paraId="3639E317"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0E348176" w14:textId="77777777" w:rsidR="00A02AA1" w:rsidRPr="00A02AA1" w:rsidRDefault="00A02AA1" w:rsidP="00C047FF">
            <w:pPr>
              <w:pStyle w:val="Normaltable"/>
              <w:keepNext/>
              <w:rPr>
                <w:rFonts w:cs="Arial"/>
                <w:szCs w:val="20"/>
              </w:rPr>
            </w:pPr>
            <w:r w:rsidRPr="00A02AA1">
              <w:rPr>
                <w:rFonts w:cs="Arial"/>
                <w:szCs w:val="20"/>
              </w:rPr>
              <w:t>Presence of dust and exhaust fumes</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0F575453" w14:textId="77777777" w:rsidR="00A02AA1" w:rsidRPr="00A02AA1" w:rsidRDefault="00A02AA1" w:rsidP="00C047FF">
            <w:pPr>
              <w:pStyle w:val="Normaltable"/>
              <w:keepNext/>
              <w:jc w:val="center"/>
              <w:rPr>
                <w:rFonts w:cs="Arial"/>
                <w:szCs w:val="20"/>
              </w:rPr>
            </w:pPr>
            <w:r w:rsidRPr="00A02AA1">
              <w:rPr>
                <w:rFonts w:cs="Arial"/>
                <w:szCs w:val="20"/>
              </w:rPr>
              <w:t>3.69</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244AC06E" w14:textId="77777777" w:rsidR="00A02AA1" w:rsidRPr="00A02AA1" w:rsidRDefault="00A02AA1" w:rsidP="00C047FF">
            <w:pPr>
              <w:pStyle w:val="Normaltable"/>
              <w:keepNext/>
              <w:jc w:val="center"/>
              <w:rPr>
                <w:rFonts w:cs="Arial"/>
                <w:szCs w:val="20"/>
              </w:rPr>
            </w:pPr>
            <w:r w:rsidRPr="00A02AA1">
              <w:rPr>
                <w:rFonts w:cs="Arial"/>
                <w:szCs w:val="20"/>
              </w:rPr>
              <w:t>0.31</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62C5125A" w14:textId="77777777" w:rsidR="00A02AA1" w:rsidRPr="00A02AA1" w:rsidRDefault="00A02AA1" w:rsidP="00C047FF">
            <w:pPr>
              <w:pStyle w:val="Normaltable"/>
              <w:keepNext/>
              <w:jc w:val="center"/>
              <w:rPr>
                <w:rFonts w:cs="Arial"/>
                <w:szCs w:val="20"/>
              </w:rPr>
            </w:pPr>
            <w:r w:rsidRPr="00A02AA1">
              <w:rPr>
                <w:rFonts w:cs="Arial"/>
                <w:szCs w:val="20"/>
              </w:rPr>
              <w:t>3.54</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3D5DF118" w14:textId="77777777" w:rsidR="00A02AA1" w:rsidRPr="00A02AA1" w:rsidRDefault="00A02AA1" w:rsidP="00C047FF">
            <w:pPr>
              <w:pStyle w:val="Normaltable"/>
              <w:keepNext/>
              <w:jc w:val="center"/>
              <w:rPr>
                <w:rFonts w:cs="Arial"/>
                <w:szCs w:val="20"/>
              </w:rPr>
            </w:pPr>
            <w:r w:rsidRPr="00A02AA1">
              <w:rPr>
                <w:rFonts w:cs="Arial"/>
                <w:szCs w:val="20"/>
              </w:rPr>
              <w:t>0.34</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57F6FCDC" w14:textId="77777777" w:rsidR="00A02AA1" w:rsidRPr="00A02AA1" w:rsidRDefault="00A02AA1" w:rsidP="00C047FF">
            <w:pPr>
              <w:pStyle w:val="Normaltable"/>
              <w:keepNext/>
              <w:jc w:val="center"/>
              <w:rPr>
                <w:rFonts w:cs="Arial"/>
                <w:szCs w:val="20"/>
              </w:rPr>
            </w:pPr>
            <w:r w:rsidRPr="00A02AA1">
              <w:rPr>
                <w:rFonts w:cs="Arial"/>
                <w:szCs w:val="20"/>
              </w:rPr>
              <w:t>2.34</w:t>
            </w:r>
          </w:p>
        </w:tc>
        <w:tc>
          <w:tcPr>
            <w:tcW w:w="1040" w:type="dxa"/>
            <w:tcBorders>
              <w:top w:val="single" w:sz="4" w:space="0" w:color="BFBFBF" w:themeColor="background1" w:themeShade="BF"/>
              <w:bottom w:val="single" w:sz="4" w:space="0" w:color="BFBFBF" w:themeColor="background1" w:themeShade="BF"/>
            </w:tcBorders>
            <w:vAlign w:val="center"/>
          </w:tcPr>
          <w:p w14:paraId="394F6747" w14:textId="77777777" w:rsidR="00A02AA1" w:rsidRPr="00A02AA1" w:rsidRDefault="00A02AA1" w:rsidP="00C047FF">
            <w:pPr>
              <w:pStyle w:val="Normaltable"/>
              <w:keepNext/>
              <w:jc w:val="center"/>
              <w:rPr>
                <w:rFonts w:cs="Arial"/>
                <w:szCs w:val="20"/>
              </w:rPr>
            </w:pPr>
            <w:r w:rsidRPr="00A02AA1">
              <w:rPr>
                <w:rFonts w:cs="Arial"/>
                <w:szCs w:val="20"/>
              </w:rPr>
              <w:t>0.48</w:t>
            </w:r>
          </w:p>
        </w:tc>
      </w:tr>
      <w:tr w:rsidR="00A02AA1" w:rsidRPr="000A2328" w14:paraId="58365544"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65C9AA17" w14:textId="77777777" w:rsidR="00A02AA1" w:rsidRPr="00A02AA1" w:rsidRDefault="00A02AA1" w:rsidP="00C047FF">
            <w:pPr>
              <w:pStyle w:val="Normaltable"/>
              <w:keepNext/>
              <w:rPr>
                <w:rFonts w:cs="Arial"/>
                <w:szCs w:val="20"/>
              </w:rPr>
            </w:pPr>
            <w:r w:rsidRPr="00A02AA1">
              <w:rPr>
                <w:rFonts w:cs="Arial"/>
                <w:szCs w:val="20"/>
              </w:rPr>
              <w:t>Air conditioning</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048F322A"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048427C3"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5CF627A6"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6A5BF3E7"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64A8D4A2" w14:textId="77777777" w:rsidR="00A02AA1" w:rsidRPr="00A02AA1" w:rsidRDefault="00A02AA1" w:rsidP="00C047FF">
            <w:pPr>
              <w:pStyle w:val="Normaltable"/>
              <w:keepNext/>
              <w:jc w:val="center"/>
              <w:rPr>
                <w:rFonts w:cs="Arial"/>
                <w:szCs w:val="20"/>
              </w:rPr>
            </w:pPr>
            <w:r w:rsidRPr="00A02AA1">
              <w:rPr>
                <w:rFonts w:cs="Arial"/>
                <w:szCs w:val="20"/>
              </w:rPr>
              <w:t>3.42</w:t>
            </w:r>
          </w:p>
        </w:tc>
        <w:tc>
          <w:tcPr>
            <w:tcW w:w="1040" w:type="dxa"/>
            <w:tcBorders>
              <w:top w:val="single" w:sz="4" w:space="0" w:color="BFBFBF" w:themeColor="background1" w:themeShade="BF"/>
              <w:bottom w:val="single" w:sz="4" w:space="0" w:color="BFBFBF" w:themeColor="background1" w:themeShade="BF"/>
            </w:tcBorders>
            <w:vAlign w:val="center"/>
          </w:tcPr>
          <w:p w14:paraId="3BF24463" w14:textId="77777777" w:rsidR="00A02AA1" w:rsidRPr="00A02AA1" w:rsidRDefault="00A02AA1" w:rsidP="00C047FF">
            <w:pPr>
              <w:pStyle w:val="Normaltable"/>
              <w:keepNext/>
              <w:jc w:val="center"/>
              <w:rPr>
                <w:rFonts w:cs="Arial"/>
                <w:szCs w:val="20"/>
              </w:rPr>
            </w:pPr>
            <w:r w:rsidRPr="00A02AA1">
              <w:rPr>
                <w:rFonts w:cs="Arial"/>
                <w:szCs w:val="20"/>
              </w:rPr>
              <w:t>0.38</w:t>
            </w:r>
          </w:p>
        </w:tc>
      </w:tr>
      <w:tr w:rsidR="00A02AA1" w:rsidRPr="000A2328" w14:paraId="7DF98466"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37720099" w14:textId="77777777" w:rsidR="00A02AA1" w:rsidRPr="00A02AA1" w:rsidRDefault="00A02AA1" w:rsidP="00C047FF">
            <w:pPr>
              <w:pStyle w:val="Normaltable"/>
              <w:keepNext/>
              <w:rPr>
                <w:rFonts w:cs="Arial"/>
                <w:szCs w:val="20"/>
              </w:rPr>
            </w:pPr>
            <w:r w:rsidRPr="00A02AA1">
              <w:rPr>
                <w:rFonts w:cs="Arial"/>
                <w:szCs w:val="20"/>
              </w:rPr>
              <w:t>Number of transfers</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2B8DC0D4"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782B5749"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31C0764B"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3F86EEF1"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36896945" w14:textId="77777777" w:rsidR="00A02AA1" w:rsidRPr="00A02AA1" w:rsidRDefault="00A02AA1" w:rsidP="00C047FF">
            <w:pPr>
              <w:pStyle w:val="Normaltable"/>
              <w:keepNext/>
              <w:jc w:val="center"/>
              <w:rPr>
                <w:rFonts w:cs="Arial"/>
                <w:szCs w:val="20"/>
              </w:rPr>
            </w:pPr>
            <w:r w:rsidRPr="00A02AA1">
              <w:rPr>
                <w:rFonts w:cs="Arial"/>
                <w:szCs w:val="20"/>
              </w:rPr>
              <w:t>3.43</w:t>
            </w:r>
          </w:p>
        </w:tc>
        <w:tc>
          <w:tcPr>
            <w:tcW w:w="1040" w:type="dxa"/>
            <w:tcBorders>
              <w:top w:val="single" w:sz="4" w:space="0" w:color="BFBFBF" w:themeColor="background1" w:themeShade="BF"/>
              <w:bottom w:val="single" w:sz="4" w:space="0" w:color="BFBFBF" w:themeColor="background1" w:themeShade="BF"/>
            </w:tcBorders>
            <w:vAlign w:val="center"/>
          </w:tcPr>
          <w:p w14:paraId="50984E1D" w14:textId="77777777" w:rsidR="00A02AA1" w:rsidRPr="00A02AA1" w:rsidRDefault="00A02AA1" w:rsidP="00C047FF">
            <w:pPr>
              <w:pStyle w:val="Normaltable"/>
              <w:keepNext/>
              <w:jc w:val="center"/>
              <w:rPr>
                <w:rFonts w:cs="Arial"/>
                <w:szCs w:val="20"/>
              </w:rPr>
            </w:pPr>
            <w:r w:rsidRPr="00A02AA1">
              <w:rPr>
                <w:rFonts w:cs="Arial"/>
                <w:szCs w:val="20"/>
              </w:rPr>
              <w:t>0.36</w:t>
            </w:r>
          </w:p>
        </w:tc>
      </w:tr>
      <w:tr w:rsidR="00A02AA1" w:rsidRPr="000A2328" w14:paraId="2F9005DF" w14:textId="77777777" w:rsidTr="00C047FF">
        <w:tc>
          <w:tcPr>
            <w:tcW w:w="2537" w:type="dxa"/>
            <w:tcBorders>
              <w:top w:val="single" w:sz="4" w:space="0" w:color="BFBFBF" w:themeColor="background1" w:themeShade="BF"/>
              <w:bottom w:val="single" w:sz="4" w:space="0" w:color="BFBFBF" w:themeColor="background1" w:themeShade="BF"/>
            </w:tcBorders>
            <w:shd w:val="clear" w:color="auto" w:fill="auto"/>
          </w:tcPr>
          <w:p w14:paraId="68594366" w14:textId="77777777" w:rsidR="00A02AA1" w:rsidRPr="00A02AA1" w:rsidRDefault="00A02AA1" w:rsidP="00C047FF">
            <w:pPr>
              <w:pStyle w:val="Normaltable"/>
              <w:keepNext/>
              <w:rPr>
                <w:rFonts w:cs="Arial"/>
                <w:szCs w:val="20"/>
              </w:rPr>
            </w:pPr>
            <w:r w:rsidRPr="00A02AA1">
              <w:rPr>
                <w:rFonts w:cs="Arial"/>
                <w:szCs w:val="20"/>
              </w:rPr>
              <w:t>Convenience of getting to bus stop</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437B941E"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40" w:type="dxa"/>
            <w:tcBorders>
              <w:top w:val="single" w:sz="4" w:space="0" w:color="BFBFBF" w:themeColor="background1" w:themeShade="BF"/>
              <w:bottom w:val="single" w:sz="4" w:space="0" w:color="BFBFBF" w:themeColor="background1" w:themeShade="BF"/>
            </w:tcBorders>
            <w:shd w:val="clear" w:color="auto" w:fill="auto"/>
            <w:noWrap/>
            <w:vAlign w:val="center"/>
          </w:tcPr>
          <w:p w14:paraId="76EE2A99"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39" w:type="dxa"/>
            <w:tcBorders>
              <w:top w:val="single" w:sz="4" w:space="0" w:color="BFBFBF" w:themeColor="background1" w:themeShade="BF"/>
              <w:bottom w:val="single" w:sz="4" w:space="0" w:color="BFBFBF" w:themeColor="background1" w:themeShade="BF"/>
            </w:tcBorders>
            <w:shd w:val="clear" w:color="auto" w:fill="auto"/>
            <w:noWrap/>
            <w:vAlign w:val="center"/>
          </w:tcPr>
          <w:p w14:paraId="29E51869"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40" w:type="dxa"/>
            <w:tcBorders>
              <w:top w:val="single" w:sz="4" w:space="0" w:color="BFBFBF" w:themeColor="background1" w:themeShade="BF"/>
              <w:bottom w:val="single" w:sz="4" w:space="0" w:color="BFBFBF" w:themeColor="background1" w:themeShade="BF"/>
            </w:tcBorders>
            <w:shd w:val="clear" w:color="auto" w:fill="auto"/>
            <w:vAlign w:val="center"/>
          </w:tcPr>
          <w:p w14:paraId="54E62C1D" w14:textId="77777777" w:rsidR="00A02AA1" w:rsidRPr="00A02AA1" w:rsidRDefault="00A02AA1" w:rsidP="00C047FF">
            <w:pPr>
              <w:pStyle w:val="Normaltable"/>
              <w:keepNext/>
              <w:jc w:val="center"/>
              <w:rPr>
                <w:rFonts w:cs="Arial"/>
                <w:szCs w:val="20"/>
              </w:rPr>
            </w:pPr>
            <w:r w:rsidRPr="00A02AA1">
              <w:rPr>
                <w:rFonts w:cs="Arial"/>
                <w:szCs w:val="20"/>
              </w:rPr>
              <w:t>-</w:t>
            </w:r>
          </w:p>
        </w:tc>
        <w:tc>
          <w:tcPr>
            <w:tcW w:w="1039" w:type="dxa"/>
            <w:tcBorders>
              <w:top w:val="single" w:sz="4" w:space="0" w:color="BFBFBF" w:themeColor="background1" w:themeShade="BF"/>
              <w:bottom w:val="single" w:sz="4" w:space="0" w:color="BFBFBF" w:themeColor="background1" w:themeShade="BF"/>
            </w:tcBorders>
            <w:shd w:val="clear" w:color="auto" w:fill="auto"/>
            <w:vAlign w:val="center"/>
          </w:tcPr>
          <w:p w14:paraId="1D3748AD" w14:textId="77777777" w:rsidR="00A02AA1" w:rsidRPr="00A02AA1" w:rsidRDefault="00A02AA1" w:rsidP="00C047FF">
            <w:pPr>
              <w:pStyle w:val="Normaltable"/>
              <w:keepNext/>
              <w:jc w:val="center"/>
              <w:rPr>
                <w:rFonts w:cs="Arial"/>
                <w:szCs w:val="20"/>
              </w:rPr>
            </w:pPr>
            <w:r w:rsidRPr="00A02AA1">
              <w:rPr>
                <w:rFonts w:cs="Arial"/>
                <w:szCs w:val="20"/>
              </w:rPr>
              <w:t>3.75</w:t>
            </w:r>
          </w:p>
        </w:tc>
        <w:tc>
          <w:tcPr>
            <w:tcW w:w="1040" w:type="dxa"/>
            <w:tcBorders>
              <w:top w:val="single" w:sz="4" w:space="0" w:color="BFBFBF" w:themeColor="background1" w:themeShade="BF"/>
              <w:bottom w:val="single" w:sz="4" w:space="0" w:color="BFBFBF" w:themeColor="background1" w:themeShade="BF"/>
            </w:tcBorders>
            <w:vAlign w:val="center"/>
          </w:tcPr>
          <w:p w14:paraId="6CEBDD27" w14:textId="77777777" w:rsidR="00A02AA1" w:rsidRPr="00A02AA1" w:rsidRDefault="00A02AA1" w:rsidP="00C047FF">
            <w:pPr>
              <w:pStyle w:val="Normaltable"/>
              <w:keepNext/>
              <w:jc w:val="center"/>
              <w:rPr>
                <w:rFonts w:cs="Arial"/>
                <w:szCs w:val="20"/>
              </w:rPr>
            </w:pPr>
            <w:r w:rsidRPr="00A02AA1">
              <w:rPr>
                <w:rFonts w:cs="Arial"/>
                <w:szCs w:val="20"/>
              </w:rPr>
              <w:t>0.31</w:t>
            </w:r>
          </w:p>
        </w:tc>
      </w:tr>
      <w:tr w:rsidR="00A02AA1" w:rsidRPr="000A2328" w14:paraId="21B1795F" w14:textId="77777777" w:rsidTr="00C047FF">
        <w:tc>
          <w:tcPr>
            <w:tcW w:w="2537" w:type="dxa"/>
            <w:tcBorders>
              <w:top w:val="single" w:sz="4" w:space="0" w:color="BFBFBF" w:themeColor="background1" w:themeShade="BF"/>
            </w:tcBorders>
            <w:shd w:val="clear" w:color="auto" w:fill="auto"/>
          </w:tcPr>
          <w:p w14:paraId="433E1AA5" w14:textId="77777777" w:rsidR="00A02AA1" w:rsidRPr="00A02AA1" w:rsidRDefault="00A02AA1" w:rsidP="00C047FF">
            <w:pPr>
              <w:pStyle w:val="Normaltable"/>
              <w:keepNext/>
              <w:rPr>
                <w:rFonts w:cs="Arial"/>
                <w:szCs w:val="20"/>
              </w:rPr>
            </w:pPr>
            <w:r w:rsidRPr="00A02AA1">
              <w:rPr>
                <w:rFonts w:cs="Arial"/>
                <w:szCs w:val="20"/>
              </w:rPr>
              <w:t>Average</w:t>
            </w:r>
          </w:p>
        </w:tc>
        <w:tc>
          <w:tcPr>
            <w:tcW w:w="1039" w:type="dxa"/>
            <w:tcBorders>
              <w:top w:val="single" w:sz="4" w:space="0" w:color="BFBFBF" w:themeColor="background1" w:themeShade="BF"/>
            </w:tcBorders>
            <w:shd w:val="clear" w:color="auto" w:fill="auto"/>
            <w:noWrap/>
            <w:vAlign w:val="center"/>
          </w:tcPr>
          <w:p w14:paraId="40911597" w14:textId="77777777" w:rsidR="00A02AA1" w:rsidRPr="00A02AA1" w:rsidRDefault="00A02AA1" w:rsidP="00C047FF">
            <w:pPr>
              <w:pStyle w:val="Normaltable"/>
              <w:keepNext/>
              <w:jc w:val="center"/>
              <w:rPr>
                <w:rFonts w:cs="Arial"/>
                <w:szCs w:val="20"/>
              </w:rPr>
            </w:pPr>
            <w:r w:rsidRPr="00A02AA1">
              <w:rPr>
                <w:rFonts w:cs="Arial"/>
                <w:szCs w:val="20"/>
              </w:rPr>
              <w:t>2.00</w:t>
            </w:r>
          </w:p>
        </w:tc>
        <w:tc>
          <w:tcPr>
            <w:tcW w:w="1040" w:type="dxa"/>
            <w:tcBorders>
              <w:top w:val="single" w:sz="4" w:space="0" w:color="BFBFBF" w:themeColor="background1" w:themeShade="BF"/>
            </w:tcBorders>
            <w:shd w:val="clear" w:color="auto" w:fill="auto"/>
            <w:noWrap/>
            <w:vAlign w:val="center"/>
          </w:tcPr>
          <w:p w14:paraId="18F6200B" w14:textId="77777777" w:rsidR="00A02AA1" w:rsidRPr="00A02AA1" w:rsidRDefault="00A02AA1" w:rsidP="00C047FF">
            <w:pPr>
              <w:pStyle w:val="Normaltable"/>
              <w:keepNext/>
              <w:jc w:val="center"/>
              <w:rPr>
                <w:rFonts w:cs="Arial"/>
                <w:szCs w:val="20"/>
              </w:rPr>
            </w:pPr>
            <w:r w:rsidRPr="00A02AA1">
              <w:rPr>
                <w:rFonts w:cs="Arial"/>
                <w:szCs w:val="20"/>
              </w:rPr>
              <w:t>0.41</w:t>
            </w:r>
          </w:p>
        </w:tc>
        <w:tc>
          <w:tcPr>
            <w:tcW w:w="1039" w:type="dxa"/>
            <w:tcBorders>
              <w:top w:val="single" w:sz="4" w:space="0" w:color="BFBFBF" w:themeColor="background1" w:themeShade="BF"/>
            </w:tcBorders>
            <w:shd w:val="clear" w:color="auto" w:fill="auto"/>
            <w:noWrap/>
            <w:vAlign w:val="center"/>
          </w:tcPr>
          <w:p w14:paraId="353805D6" w14:textId="77777777" w:rsidR="00A02AA1" w:rsidRPr="00A02AA1" w:rsidRDefault="00A02AA1" w:rsidP="00C047FF">
            <w:pPr>
              <w:pStyle w:val="Normaltable"/>
              <w:keepNext/>
              <w:jc w:val="center"/>
              <w:rPr>
                <w:rFonts w:cs="Arial"/>
                <w:szCs w:val="20"/>
              </w:rPr>
            </w:pPr>
            <w:r w:rsidRPr="00A02AA1">
              <w:rPr>
                <w:rFonts w:cs="Arial"/>
                <w:szCs w:val="20"/>
              </w:rPr>
              <w:t>2.80</w:t>
            </w:r>
          </w:p>
        </w:tc>
        <w:tc>
          <w:tcPr>
            <w:tcW w:w="1040" w:type="dxa"/>
            <w:tcBorders>
              <w:top w:val="single" w:sz="4" w:space="0" w:color="BFBFBF" w:themeColor="background1" w:themeShade="BF"/>
            </w:tcBorders>
            <w:shd w:val="clear" w:color="auto" w:fill="auto"/>
            <w:vAlign w:val="center"/>
          </w:tcPr>
          <w:p w14:paraId="4144B34A" w14:textId="77777777" w:rsidR="00A02AA1" w:rsidRPr="00A02AA1" w:rsidRDefault="00A02AA1" w:rsidP="00C047FF">
            <w:pPr>
              <w:pStyle w:val="Normaltable"/>
              <w:keepNext/>
              <w:jc w:val="center"/>
              <w:rPr>
                <w:rFonts w:cs="Arial"/>
                <w:szCs w:val="20"/>
              </w:rPr>
            </w:pPr>
            <w:r w:rsidRPr="00A02AA1">
              <w:rPr>
                <w:rFonts w:cs="Arial"/>
                <w:szCs w:val="20"/>
              </w:rPr>
              <w:t>0.45</w:t>
            </w:r>
          </w:p>
        </w:tc>
        <w:tc>
          <w:tcPr>
            <w:tcW w:w="1039" w:type="dxa"/>
            <w:tcBorders>
              <w:top w:val="single" w:sz="4" w:space="0" w:color="BFBFBF" w:themeColor="background1" w:themeShade="BF"/>
            </w:tcBorders>
            <w:shd w:val="clear" w:color="auto" w:fill="auto"/>
            <w:vAlign w:val="center"/>
          </w:tcPr>
          <w:p w14:paraId="039F01D7" w14:textId="77777777" w:rsidR="00A02AA1" w:rsidRPr="00A02AA1" w:rsidRDefault="00A02AA1" w:rsidP="00C047FF">
            <w:pPr>
              <w:pStyle w:val="Normaltable"/>
              <w:keepNext/>
              <w:jc w:val="center"/>
              <w:rPr>
                <w:rFonts w:cs="Arial"/>
                <w:szCs w:val="20"/>
              </w:rPr>
            </w:pPr>
            <w:r w:rsidRPr="00A02AA1">
              <w:rPr>
                <w:rFonts w:cs="Arial"/>
                <w:szCs w:val="20"/>
              </w:rPr>
              <w:t>3.19</w:t>
            </w:r>
          </w:p>
        </w:tc>
        <w:tc>
          <w:tcPr>
            <w:tcW w:w="1040" w:type="dxa"/>
            <w:tcBorders>
              <w:top w:val="single" w:sz="4" w:space="0" w:color="BFBFBF" w:themeColor="background1" w:themeShade="BF"/>
            </w:tcBorders>
            <w:vAlign w:val="center"/>
          </w:tcPr>
          <w:p w14:paraId="0616546C" w14:textId="77777777" w:rsidR="00A02AA1" w:rsidRPr="00A02AA1" w:rsidRDefault="00A02AA1" w:rsidP="00C047FF">
            <w:pPr>
              <w:pStyle w:val="Normaltable"/>
              <w:keepNext/>
              <w:jc w:val="center"/>
              <w:rPr>
                <w:rFonts w:cs="Arial"/>
                <w:szCs w:val="20"/>
              </w:rPr>
            </w:pPr>
            <w:r w:rsidRPr="00A02AA1">
              <w:rPr>
                <w:rFonts w:cs="Arial"/>
                <w:szCs w:val="20"/>
              </w:rPr>
              <w:t>0.38</w:t>
            </w:r>
          </w:p>
        </w:tc>
      </w:tr>
    </w:tbl>
    <w:p w14:paraId="3089E597" w14:textId="77777777" w:rsidR="00853BDF" w:rsidRPr="00854EF2" w:rsidRDefault="00A02AA1" w:rsidP="00C047FF">
      <w:pPr>
        <w:spacing w:after="240"/>
        <w:rPr>
          <w:i/>
          <w:sz w:val="16"/>
          <w:szCs w:val="16"/>
        </w:rPr>
      </w:pPr>
      <w:r w:rsidRPr="00854EF2">
        <w:rPr>
          <w:i/>
          <w:sz w:val="16"/>
          <w:szCs w:val="16"/>
        </w:rPr>
        <w:t>Note: Coefficient of variation = standard deviation divided by the mean. It is an indication of the relative extent of dispersion of views.</w:t>
      </w:r>
    </w:p>
    <w:p w14:paraId="104F0E58" w14:textId="6A03150F" w:rsidR="00A425E5" w:rsidRDefault="00B6464C" w:rsidP="00A425E5">
      <w:pPr>
        <w:pStyle w:val="SectionHeadingLevel1"/>
      </w:pPr>
      <w:r>
        <w:t>5</w:t>
      </w:r>
      <w:r w:rsidR="00A425E5">
        <w:t>. Discussion</w:t>
      </w:r>
    </w:p>
    <w:p w14:paraId="23691629" w14:textId="18F0AE08" w:rsidR="00AC0BF3" w:rsidRDefault="00B6464C" w:rsidP="00A425E5">
      <w:r>
        <w:t xml:space="preserve">The surveys </w:t>
      </w:r>
      <w:r w:rsidR="00AC0BF3">
        <w:t xml:space="preserve">provide considerable insights into the ownership and use of </w:t>
      </w:r>
      <w:proofErr w:type="spellStart"/>
      <w:r w:rsidR="00AC0BF3">
        <w:t>motos</w:t>
      </w:r>
      <w:proofErr w:type="spellEnd"/>
      <w:r w:rsidR="00AC0BF3">
        <w:t xml:space="preserve"> in Hanoi. Several key themes that are important with regard to the future management of motorcycles emerge. </w:t>
      </w:r>
    </w:p>
    <w:p w14:paraId="23398756" w14:textId="744B7917" w:rsidR="00AC0BF3" w:rsidRDefault="00AC0BF3" w:rsidP="00AC0BF3">
      <w:r>
        <w:t xml:space="preserve">The first is that </w:t>
      </w:r>
      <w:proofErr w:type="spellStart"/>
      <w:r>
        <w:t>motos</w:t>
      </w:r>
      <w:proofErr w:type="spellEnd"/>
      <w:r>
        <w:t xml:space="preserve"> have attributes that make them attractive to users and provide the key mobility requirements for most people. The attributes cited in the surveys include flexibility with regard to travel location, travel time and household travel arrangements, as well as moderate purchase costs and low operating costs. But there are also factors that make moto use unattractive, including poor safety, air pollution and hot and wet weather, which are especially unpleasant for longer distance journeys. </w:t>
      </w:r>
    </w:p>
    <w:p w14:paraId="3FAFA233" w14:textId="6FE40ACF" w:rsidR="00AC0BF3" w:rsidRDefault="00AC0BF3" w:rsidP="00A425E5">
      <w:r>
        <w:t xml:space="preserve">By comparison with general international experience, travel demand </w:t>
      </w:r>
      <w:proofErr w:type="spellStart"/>
      <w:r>
        <w:t>elasticities</w:t>
      </w:r>
      <w:proofErr w:type="spellEnd"/>
      <w:r>
        <w:t xml:space="preserve"> calculated using the survey information are very low. This indicates that people have well-established</w:t>
      </w:r>
      <w:r w:rsidR="00556D52">
        <w:t>, if not deeply entrenched,</w:t>
      </w:r>
      <w:r>
        <w:t xml:space="preserve"> travel behaviour</w:t>
      </w:r>
      <w:r w:rsidR="00556D52">
        <w:t xml:space="preserve">. With regard to the key government objective of seeking a shift to public transport, </w:t>
      </w:r>
      <w:r>
        <w:t xml:space="preserve">moto users showed only </w:t>
      </w:r>
      <w:r w:rsidR="00556D52">
        <w:t xml:space="preserve">a very </w:t>
      </w:r>
      <w:r>
        <w:t xml:space="preserve">limited willingness to switch to other modes in the near future. They felt that public transport, bus in particular, did not match the positive attributes of </w:t>
      </w:r>
      <w:proofErr w:type="spellStart"/>
      <w:r>
        <w:t>motos</w:t>
      </w:r>
      <w:proofErr w:type="spellEnd"/>
      <w:r>
        <w:t xml:space="preserve"> and was not sufficiently attractive to overcome the unappealing features of moto use.</w:t>
      </w:r>
      <w:r w:rsidR="009F3B87">
        <w:t xml:space="preserve"> </w:t>
      </w:r>
    </w:p>
    <w:p w14:paraId="0F1EFEE5" w14:textId="40509EC5" w:rsidR="00A425E5" w:rsidRPr="00C047FF" w:rsidRDefault="00556D52" w:rsidP="00A425E5">
      <w:r>
        <w:t xml:space="preserve">However, the surveys also show that </w:t>
      </w:r>
      <w:r w:rsidR="00B6464C">
        <w:t>p</w:t>
      </w:r>
      <w:r w:rsidR="00A425E5" w:rsidRPr="00C047FF">
        <w:t xml:space="preserve">eople have differing views </w:t>
      </w:r>
      <w:r>
        <w:t xml:space="preserve">and that </w:t>
      </w:r>
      <w:r w:rsidR="00B6464C">
        <w:t>s</w:t>
      </w:r>
      <w:r w:rsidR="00B6464C" w:rsidRPr="007033A4">
        <w:t>ome market segments are more willing to transfer to public transport than others</w:t>
      </w:r>
      <w:r>
        <w:t>. G</w:t>
      </w:r>
      <w:r w:rsidR="00A425E5" w:rsidRPr="00C047FF">
        <w:t xml:space="preserve">overnment will achieve </w:t>
      </w:r>
      <w:r w:rsidR="00A425E5" w:rsidRPr="00C047FF">
        <w:lastRenderedPageBreak/>
        <w:t>the greatest and most cost-efficient transfer to public transport by focussing on the market segments that are most amenable to change. As examples, the surveys indicate that:</w:t>
      </w:r>
    </w:p>
    <w:p w14:paraId="332559BB" w14:textId="77777777" w:rsidR="00A425E5" w:rsidRPr="00C047FF" w:rsidRDefault="00A425E5" w:rsidP="00A425E5">
      <w:pPr>
        <w:pStyle w:val="ListBullet"/>
        <w:spacing w:after="120"/>
        <w:ind w:left="397" w:hanging="227"/>
      </w:pPr>
      <w:r w:rsidRPr="00C047FF">
        <w:t xml:space="preserve">Women, on average, are likely to be more easily persuaded to use public transport than men though they are concerned about their safety and security. Not all women will be able to change as some need the greater flexibility of </w:t>
      </w:r>
      <w:proofErr w:type="spellStart"/>
      <w:r w:rsidRPr="00C047FF">
        <w:t>motos</w:t>
      </w:r>
      <w:proofErr w:type="spellEnd"/>
      <w:r w:rsidRPr="00C047FF">
        <w:t xml:space="preserve"> to undertake more complex travel to meet family needs. </w:t>
      </w:r>
    </w:p>
    <w:p w14:paraId="3AF019CD" w14:textId="77777777" w:rsidR="00A425E5" w:rsidRPr="00C047FF" w:rsidRDefault="00A425E5" w:rsidP="00A425E5">
      <w:pPr>
        <w:pStyle w:val="ListBullet"/>
        <w:spacing w:after="120"/>
        <w:ind w:left="397" w:hanging="227"/>
      </w:pPr>
      <w:r w:rsidRPr="00C047FF">
        <w:t xml:space="preserve">Moto users who travel long distances are more likely to be attracted to public transport than those who travel shorter distances. </w:t>
      </w:r>
    </w:p>
    <w:p w14:paraId="281A9029" w14:textId="77777777" w:rsidR="00A425E5" w:rsidRPr="00C047FF" w:rsidRDefault="00A425E5" w:rsidP="00A425E5">
      <w:pPr>
        <w:pStyle w:val="ListBullet"/>
        <w:spacing w:after="120"/>
        <w:ind w:left="397" w:hanging="227"/>
      </w:pPr>
      <w:r w:rsidRPr="00C047FF">
        <w:t>People with higher incomes are more likely to own and use cars; however, they also value their travel time and hence can be attracted to fast, high quality public transport when they need to travel to locations where congestion is serious.</w:t>
      </w:r>
    </w:p>
    <w:p w14:paraId="1E1941B3" w14:textId="77777777" w:rsidR="00A425E5" w:rsidRPr="00C047FF" w:rsidRDefault="00A425E5" w:rsidP="00A425E5">
      <w:pPr>
        <w:pStyle w:val="ListBullet"/>
        <w:spacing w:after="120"/>
        <w:ind w:left="397" w:hanging="227"/>
      </w:pPr>
      <w:r w:rsidRPr="00C047FF">
        <w:t xml:space="preserve">People are bothered more by some parts of a public transport trip than others. For example, the surveys indicate people are much more concerned by the time and bother of the walk to access public transport that the time spent on the public transport vehicle, and they are less bothered by the time spent travelling on rapid transit than on bus. International experience indicates that the need to transfer between public transport services is disliked by passengers. </w:t>
      </w:r>
    </w:p>
    <w:p w14:paraId="49FA2A79" w14:textId="77777777" w:rsidR="00A425E5" w:rsidRPr="00C047FF" w:rsidRDefault="00A425E5" w:rsidP="00A425E5">
      <w:pPr>
        <w:pStyle w:val="ListBullet"/>
        <w:spacing w:after="120"/>
        <w:ind w:left="397" w:hanging="227"/>
      </w:pPr>
      <w:r w:rsidRPr="00C047FF">
        <w:t>Other matters related to public transport that people are concerned about include safety and personal security, over-crowding, service reliability and air conditioning.</w:t>
      </w:r>
    </w:p>
    <w:p w14:paraId="1D3C3183" w14:textId="77777777" w:rsidR="00A425E5" w:rsidRPr="00C047FF" w:rsidRDefault="00A425E5" w:rsidP="00A425E5">
      <w:pPr>
        <w:pStyle w:val="ListBullet"/>
        <w:spacing w:after="120"/>
        <w:ind w:left="397" w:hanging="227"/>
      </w:pPr>
      <w:r w:rsidRPr="00C047FF">
        <w:t>People generally do not rate fares as being a major issue, though people with lower incomes are more concerned and people with higher incomes and people who would use rapid transit are less bothered by the level of fares.</w:t>
      </w:r>
    </w:p>
    <w:p w14:paraId="294421FE" w14:textId="77777777" w:rsidR="00A425E5" w:rsidRPr="00C047FF" w:rsidRDefault="00A425E5" w:rsidP="00A425E5">
      <w:pPr>
        <w:pStyle w:val="ListBullet"/>
        <w:spacing w:after="120"/>
        <w:ind w:left="397" w:hanging="227"/>
      </w:pPr>
      <w:r w:rsidRPr="00C047FF">
        <w:t>Moto users are concerned by travel conditions, including travel time, weather conditions, traffic conditions, and the presence of dust and fumes.</w:t>
      </w:r>
    </w:p>
    <w:p w14:paraId="35D8D7FA" w14:textId="77777777" w:rsidR="00A425E5" w:rsidRDefault="00A425E5" w:rsidP="00A425E5">
      <w:pPr>
        <w:pStyle w:val="ListBullet"/>
        <w:spacing w:after="120"/>
        <w:ind w:left="397" w:hanging="227"/>
      </w:pPr>
      <w:r w:rsidRPr="00C047FF">
        <w:t>In other respect, views generally do not differ substantially by age, gender and the presence of children in a household. The principal variations are that people from households with higher income are less concerned with the cost of using their vehicles and those from households with low income are more concerned with travel time and road safety.</w:t>
      </w:r>
    </w:p>
    <w:p w14:paraId="1A7FA90D" w14:textId="268A18FA" w:rsidR="009F3B87" w:rsidRDefault="009F3B87" w:rsidP="00C047FF">
      <w:r>
        <w:t>The focus of the research was on moto ownership and use</w:t>
      </w:r>
      <w:r w:rsidR="00605119">
        <w:t xml:space="preserve">, and the potential for a shift from </w:t>
      </w:r>
      <w:proofErr w:type="spellStart"/>
      <w:r w:rsidR="00605119">
        <w:t>motos</w:t>
      </w:r>
      <w:proofErr w:type="spellEnd"/>
      <w:r w:rsidR="00605119">
        <w:t xml:space="preserve"> to public transport</w:t>
      </w:r>
      <w:r>
        <w:t>. Information was also collected on attitudes to car ownership and use because of the rapid growth in the role of the mode</w:t>
      </w:r>
      <w:r w:rsidR="00605119">
        <w:t xml:space="preserve"> and the potential for rising income to allow moto owners to purchase and use cars</w:t>
      </w:r>
      <w:r>
        <w:t xml:space="preserve">. </w:t>
      </w:r>
      <w:r w:rsidR="0005342A">
        <w:t xml:space="preserve">The size of the sample of current car users was sufficient to ensure statistical significance, though it was small relative to the sample of moto users and will have been influenced by current features of car users (e.g. being those with higher incomes and with many having chauffeurs). In addition, where non-car users were asked about their attitudes to car ownership and use, </w:t>
      </w:r>
      <w:r>
        <w:t>the</w:t>
      </w:r>
      <w:r w:rsidR="00605119">
        <w:t xml:space="preserve">re is a risk that it may have been difficult for </w:t>
      </w:r>
      <w:r w:rsidR="0005342A">
        <w:t xml:space="preserve">them to have </w:t>
      </w:r>
      <w:r w:rsidR="00605119">
        <w:t>envisage</w:t>
      </w:r>
      <w:r w:rsidR="0005342A">
        <w:t>d such a situation and to give reliable indications.</w:t>
      </w:r>
    </w:p>
    <w:p w14:paraId="39DC3B93" w14:textId="3857926C" w:rsidR="004C6563" w:rsidRPr="00C047FF" w:rsidRDefault="004C6563" w:rsidP="00C047FF">
      <w:r>
        <w:t xml:space="preserve">In the absence of a marked change in government policy and personal choices, the current average rate of moto ownership in Hanoi of 610 </w:t>
      </w:r>
      <w:proofErr w:type="spellStart"/>
      <w:r>
        <w:t>motos</w:t>
      </w:r>
      <w:proofErr w:type="spellEnd"/>
      <w:r>
        <w:t xml:space="preserve">/1,000 people could rise to around 700 </w:t>
      </w:r>
      <w:proofErr w:type="spellStart"/>
      <w:r>
        <w:t>motos</w:t>
      </w:r>
      <w:proofErr w:type="spellEnd"/>
      <w:r>
        <w:t xml:space="preserve">/1,000 people (or 2.75 </w:t>
      </w:r>
      <w:proofErr w:type="spellStart"/>
      <w:r>
        <w:t>motos</w:t>
      </w:r>
      <w:proofErr w:type="spellEnd"/>
      <w:r>
        <w:t xml:space="preserve"> per household on average), which is the current level of moto ownership in </w:t>
      </w:r>
      <w:proofErr w:type="spellStart"/>
      <w:r>
        <w:t>Ho</w:t>
      </w:r>
      <w:proofErr w:type="spellEnd"/>
      <w:r>
        <w:t xml:space="preserve"> Chi Minh City. This would be approaching the saturation level where everyone who is able to use a moto has access to one. It is possible that moto ownership will remain high even as car ownership increases, as has been the case in Taipei in Taiwan</w:t>
      </w:r>
      <w:r w:rsidR="00140D39">
        <w:t xml:space="preserve"> (Chen et al, 2013</w:t>
      </w:r>
      <w:r w:rsidR="00743E96">
        <w:t xml:space="preserve"> and Tuan et al, 2013</w:t>
      </w:r>
      <w:r w:rsidR="00140D39">
        <w:t>)</w:t>
      </w:r>
      <w:r>
        <w:t xml:space="preserve">. If the experience in Taipei was to occur in Hanoi, car ownership could rise from 36 cars/1,000 people at present to one car per household. This would see a seven-fold increase on the number of cars on the road in Hanoi. The </w:t>
      </w:r>
      <w:r w:rsidR="00F96810">
        <w:t xml:space="preserve">augmentation </w:t>
      </w:r>
      <w:r>
        <w:t>from moto to car ownership has already commenced, with the number of registered cars in Hanoi during the period 2006 to 2011 rising at almost double the rate of motorcycles.</w:t>
      </w:r>
    </w:p>
    <w:p w14:paraId="4FD56DEB" w14:textId="07AB659D" w:rsidR="00853BDF" w:rsidRDefault="00B6464C" w:rsidP="00E73748">
      <w:pPr>
        <w:pStyle w:val="SectionHeadingLevel1"/>
      </w:pPr>
      <w:r>
        <w:lastRenderedPageBreak/>
        <w:t>6</w:t>
      </w:r>
      <w:r w:rsidR="00E73748">
        <w:t>. Conclusions</w:t>
      </w:r>
    </w:p>
    <w:p w14:paraId="49E6C004" w14:textId="77777777" w:rsidR="00853BDF" w:rsidRDefault="00853BDF" w:rsidP="00853BDF">
      <w:r>
        <w:t>Government in Vietnam faces many challenges that result from the rapid motorization of transport in its cities. The sheer number of motorcycles is the clearest evidence of this. The faster still increase in the number of cars poses an even greater challenge - while motorcycle ownership may be near saturation, current low level of car ownership and the potential for continued growth as rising incomes make cars more affordable presents an even greater challenge because of the greater road space required by cars and the effect of more of the larger vehicles on the dynamics of traffic flow.</w:t>
      </w:r>
    </w:p>
    <w:p w14:paraId="346125A8" w14:textId="77777777" w:rsidR="00853BDF" w:rsidRDefault="00853BDF" w:rsidP="00853BDF">
      <w:r>
        <w:t>In Hanoi, the government is aiming to substantially improve public transport, primarily through construction of an extensive metro rail system supplemented by BRT and better street buses. The success of these improvements is dependent on attracting substantial numbers of people who currently use motorcycles to public transport. There is a complementary need to maintain the attractiveness of motorcycle travel relative to car to slow the rate at which people shift to car.</w:t>
      </w:r>
    </w:p>
    <w:p w14:paraId="0DEE6D75" w14:textId="2137FF5D" w:rsidR="00853BDF" w:rsidRDefault="00AF40B1" w:rsidP="00853BDF">
      <w:r w:rsidRPr="00AF40B1">
        <w:t>Although there are multiple objectives of the wider study upon which this paper is based, presented here are selected highlights of the research process and outcomes.</w:t>
      </w:r>
      <w:r>
        <w:t xml:space="preserve"> </w:t>
      </w:r>
      <w:r w:rsidR="00F143DC">
        <w:t xml:space="preserve">The components </w:t>
      </w:r>
      <w:r w:rsidR="00853BDF">
        <w:t>described in this paper provide a better understanding of the factors that influence the purchase of motorcycles and use of the various modes of transport that will be available to the community in Hanoi.</w:t>
      </w:r>
      <w:r w:rsidR="00A129F5">
        <w:t xml:space="preserve"> It indicates the major challenges facing urban authorities as they seek their desire for a shift from private to public modes of transport.</w:t>
      </w:r>
    </w:p>
    <w:p w14:paraId="0EE9E9AA" w14:textId="77777777" w:rsidR="00853BDF" w:rsidRDefault="00853BDF" w:rsidP="00853BDF"/>
    <w:p w14:paraId="3EB5CF29" w14:textId="77777777" w:rsidR="00853BDF" w:rsidRDefault="00E73748" w:rsidP="00E73748">
      <w:pPr>
        <w:pStyle w:val="SectionHeadingLevel1"/>
      </w:pPr>
      <w:r>
        <w:t>Acknowledgements</w:t>
      </w:r>
    </w:p>
    <w:p w14:paraId="5FD93EC5" w14:textId="77777777" w:rsidR="00853BDF" w:rsidRDefault="00853BDF" w:rsidP="00853BDF">
      <w:r>
        <w:t xml:space="preserve">The support of the Government of Australia in financing the research study is acknowledged, as are comments and other inputs from other staff and consultants of the World Bank and other consultants participating in the research. The views expressed in this paper are those of the authors and do not necessarily represent those of the </w:t>
      </w:r>
      <w:r w:rsidR="00E73748">
        <w:t xml:space="preserve">Government of Australia, </w:t>
      </w:r>
      <w:r>
        <w:t>World Bank or the Government of Vietnam.</w:t>
      </w:r>
    </w:p>
    <w:p w14:paraId="2C49F478" w14:textId="77777777" w:rsidR="00854EF2" w:rsidRDefault="00854EF2" w:rsidP="00E73748">
      <w:pPr>
        <w:pStyle w:val="SectionHeadingLevel1"/>
      </w:pPr>
    </w:p>
    <w:p w14:paraId="2C345E76" w14:textId="77777777" w:rsidR="00E73748" w:rsidRDefault="00E73748" w:rsidP="00E73748">
      <w:pPr>
        <w:pStyle w:val="SectionHeadingLevel1"/>
      </w:pPr>
      <w:r w:rsidRPr="00043352">
        <w:t>References</w:t>
      </w:r>
    </w:p>
    <w:p w14:paraId="7018978D" w14:textId="7C4C63A1" w:rsidR="009A403B" w:rsidRPr="00854EF2" w:rsidRDefault="009A403B" w:rsidP="009A403B">
      <w:r w:rsidRPr="00854EF2">
        <w:t>Ben-</w:t>
      </w:r>
      <w:proofErr w:type="spellStart"/>
      <w:r w:rsidRPr="00854EF2">
        <w:t>Akiva</w:t>
      </w:r>
      <w:proofErr w:type="spellEnd"/>
      <w:r w:rsidRPr="00854EF2">
        <w:t xml:space="preserve">, M., and </w:t>
      </w:r>
      <w:proofErr w:type="spellStart"/>
      <w:r w:rsidRPr="00854EF2">
        <w:t>Lerman</w:t>
      </w:r>
      <w:proofErr w:type="spellEnd"/>
      <w:r w:rsidRPr="00854EF2">
        <w:t>, S.R. (1985). Discrete Choice Analysis: Theory and Application to Travel Demand, MIT Press Series in Transportation Studies.</w:t>
      </w:r>
    </w:p>
    <w:p w14:paraId="5C2CE835" w14:textId="546653C5" w:rsidR="00140D39" w:rsidRDefault="00140D39" w:rsidP="00140D39">
      <w:r>
        <w:t xml:space="preserve">Chen, B.W., </w:t>
      </w:r>
      <w:proofErr w:type="spellStart"/>
      <w:r>
        <w:t>Takami</w:t>
      </w:r>
      <w:proofErr w:type="spellEnd"/>
      <w:r>
        <w:t xml:space="preserve">, K, </w:t>
      </w:r>
      <w:proofErr w:type="spellStart"/>
      <w:r>
        <w:t>Ohmori</w:t>
      </w:r>
      <w:proofErr w:type="spellEnd"/>
      <w:r>
        <w:t xml:space="preserve">, N. and </w:t>
      </w:r>
      <w:proofErr w:type="spellStart"/>
      <w:r>
        <w:t>Harata</w:t>
      </w:r>
      <w:proofErr w:type="spellEnd"/>
      <w:r>
        <w:t xml:space="preserve">, N (2013). Household Car and Motorcycle Ownership and Transaction </w:t>
      </w:r>
      <w:proofErr w:type="spellStart"/>
      <w:r>
        <w:t>Behavior</w:t>
      </w:r>
      <w:proofErr w:type="spellEnd"/>
      <w:r>
        <w:t xml:space="preserve"> through a Life-Course Approach - a Case in Taipei City</w:t>
      </w:r>
      <w:r w:rsidR="00743E96">
        <w:t>.</w:t>
      </w:r>
      <w:r>
        <w:t xml:space="preserve"> </w:t>
      </w:r>
      <w:r w:rsidR="00743E96" w:rsidRPr="002077B4">
        <w:t xml:space="preserve">Papers of the </w:t>
      </w:r>
      <w:r w:rsidR="00743E96" w:rsidRPr="0004165D">
        <w:rPr>
          <w:i/>
        </w:rPr>
        <w:t>10</w:t>
      </w:r>
      <w:r w:rsidR="00743E96" w:rsidRPr="0004165D">
        <w:rPr>
          <w:i/>
          <w:vertAlign w:val="superscript"/>
        </w:rPr>
        <w:t>th</w:t>
      </w:r>
      <w:r w:rsidR="00743E96" w:rsidRPr="0004165D">
        <w:rPr>
          <w:i/>
        </w:rPr>
        <w:t xml:space="preserve"> Conference of the Eastern Asia Society for Transportation Studies</w:t>
      </w:r>
      <w:r w:rsidR="00743E96" w:rsidRPr="002077B4">
        <w:t>, September 9-12, 2013, Taipei, Taiwan</w:t>
      </w:r>
      <w:r>
        <w:t>.</w:t>
      </w:r>
    </w:p>
    <w:p w14:paraId="7A7AEF62" w14:textId="77777777" w:rsidR="00180EC5" w:rsidRDefault="00180EC5" w:rsidP="00853BDF">
      <w:r>
        <w:t xml:space="preserve">Choice Metrics (2012). </w:t>
      </w:r>
      <w:proofErr w:type="spellStart"/>
      <w:r>
        <w:t>Ngene</w:t>
      </w:r>
      <w:proofErr w:type="spellEnd"/>
      <w:r>
        <w:t xml:space="preserve"> Version 1.1.1: User Manual and Reference Guide, Choice Metrics Pty. Ltd.</w:t>
      </w:r>
    </w:p>
    <w:p w14:paraId="593E89D9" w14:textId="43F8001E" w:rsidR="008E4BF1" w:rsidRDefault="008E4BF1" w:rsidP="008E4BF1">
      <w:r>
        <w:t xml:space="preserve">Economic and Policy Services Pty Ltd with the support of the University of Transport and Communications, Hanoi and Associated Consultants (2014). Motorization and Urban Transport </w:t>
      </w:r>
      <w:r w:rsidR="00A87812">
        <w:t>i</w:t>
      </w:r>
      <w:r>
        <w:t>n East Asia: Motorcycle, Motor Scooter and Motorbike Ownership &amp; Use in Hanoi</w:t>
      </w:r>
      <w:r w:rsidR="00A87812">
        <w:t xml:space="preserve"> (4 volumes)</w:t>
      </w:r>
      <w:r>
        <w:t>. December.</w:t>
      </w:r>
    </w:p>
    <w:p w14:paraId="00F8D206" w14:textId="0972B387" w:rsidR="00140D39" w:rsidRDefault="00140D39" w:rsidP="00140D39">
      <w:r>
        <w:t>European Parliament and Counc</w:t>
      </w:r>
      <w:r w:rsidR="00960B2D">
        <w:t xml:space="preserve">il of </w:t>
      </w:r>
      <w:proofErr w:type="gramStart"/>
      <w:r w:rsidR="00960B2D">
        <w:t>The</w:t>
      </w:r>
      <w:proofErr w:type="gramEnd"/>
      <w:r w:rsidR="00960B2D">
        <w:t xml:space="preserve"> European Union (2002).</w:t>
      </w:r>
      <w:r>
        <w:t xml:space="preserve"> Directive 2002/51/</w:t>
      </w:r>
      <w:proofErr w:type="spellStart"/>
      <w:r>
        <w:t>Ec</w:t>
      </w:r>
      <w:proofErr w:type="spellEnd"/>
      <w:r>
        <w:t xml:space="preserve"> on the reduction of the level of pollutant emissions from two- and three-wheel motor vehicles and amending Directive 97/24/EC, Official Journal of the European Communities.</w:t>
      </w:r>
    </w:p>
    <w:p w14:paraId="4F3B1E6D" w14:textId="77777777" w:rsidR="009A403B" w:rsidRPr="00854EF2" w:rsidRDefault="009A403B" w:rsidP="009A403B">
      <w:r w:rsidRPr="00854EF2">
        <w:t xml:space="preserve">Greene, W.H. (2007). LIMDEP V9.0 Econometric Modelling Guide, Econometric Software </w:t>
      </w:r>
      <w:proofErr w:type="spellStart"/>
      <w:r w:rsidRPr="00854EF2">
        <w:t>Inc</w:t>
      </w:r>
      <w:proofErr w:type="spellEnd"/>
    </w:p>
    <w:p w14:paraId="2A0B1836" w14:textId="77777777" w:rsidR="00180EC5" w:rsidRDefault="00180EC5" w:rsidP="00853BDF">
      <w:r>
        <w:lastRenderedPageBreak/>
        <w:t>Government of Vietnam (2011a). Hanoi Urban Transport Master Plan.</w:t>
      </w:r>
    </w:p>
    <w:p w14:paraId="06AC9694" w14:textId="77777777" w:rsidR="00180EC5" w:rsidRDefault="00180EC5" w:rsidP="00853BDF">
      <w:r>
        <w:t>Government of Vietnam (2011b). Hanoi Urban Master Plan.</w:t>
      </w:r>
    </w:p>
    <w:p w14:paraId="26195FC5" w14:textId="77777777" w:rsidR="00854EF2" w:rsidRPr="00854EF2" w:rsidRDefault="00854EF2" w:rsidP="00854EF2">
      <w:proofErr w:type="spellStart"/>
      <w:r w:rsidRPr="00854EF2">
        <w:t>Hensher</w:t>
      </w:r>
      <w:proofErr w:type="spellEnd"/>
      <w:r w:rsidRPr="00854EF2">
        <w:t>, D.A., Greene W.H. and Rose, J.M. (2005)</w:t>
      </w:r>
      <w:r>
        <w:t>.</w:t>
      </w:r>
      <w:r w:rsidRPr="00854EF2">
        <w:t xml:space="preserve"> Applied Choice Analysis: A Primer, Cambridge University Press. </w:t>
      </w:r>
    </w:p>
    <w:p w14:paraId="367BBE4A" w14:textId="77777777" w:rsidR="00180EC5" w:rsidRDefault="00180EC5" w:rsidP="00853BDF">
      <w:r>
        <w:t>Japan International Cooperation Agenc</w:t>
      </w:r>
      <w:r w:rsidR="00854EF2">
        <w:t xml:space="preserve">y and Hanoi People’s Committee (2007) </w:t>
      </w:r>
      <w:r>
        <w:t xml:space="preserve">The Comprehensive Urban Development Programme in Hanoi Capital City of the Socialist Republic of Vietnam (HAIDEP). March </w:t>
      </w:r>
    </w:p>
    <w:p w14:paraId="443FFFCA" w14:textId="77777777" w:rsidR="009A403B" w:rsidRPr="00854EF2" w:rsidRDefault="009A403B" w:rsidP="009A403B">
      <w:r>
        <w:t>Likert, R. (1932).</w:t>
      </w:r>
      <w:r w:rsidRPr="00854EF2">
        <w:t xml:space="preserve"> A Technique for the Measurement of Attitudes, Archives of Psychology, Vol. 140, pp. 1–55.</w:t>
      </w:r>
    </w:p>
    <w:p w14:paraId="6644B93A" w14:textId="77777777" w:rsidR="009A403B" w:rsidRPr="00854EF2" w:rsidRDefault="009A403B" w:rsidP="009A403B">
      <w:r w:rsidRPr="00854EF2">
        <w:t xml:space="preserve">Louviere, J.J., </w:t>
      </w:r>
      <w:proofErr w:type="spellStart"/>
      <w:r w:rsidRPr="00854EF2">
        <w:t>Hensher</w:t>
      </w:r>
      <w:proofErr w:type="spellEnd"/>
      <w:r w:rsidRPr="00854EF2">
        <w:t xml:space="preserve">, D.A., and </w:t>
      </w:r>
      <w:proofErr w:type="spellStart"/>
      <w:r w:rsidRPr="00854EF2">
        <w:t>Swait</w:t>
      </w:r>
      <w:proofErr w:type="spellEnd"/>
      <w:r w:rsidRPr="00854EF2">
        <w:t>, J.D. (2000)</w:t>
      </w:r>
      <w:r>
        <w:t>.</w:t>
      </w:r>
      <w:r w:rsidRPr="00854EF2">
        <w:t xml:space="preserve"> Stated Choice Methods, Analysis and Application Cambridge. Cambridge University Press. </w:t>
      </w:r>
    </w:p>
    <w:p w14:paraId="7582E5E5" w14:textId="77777777" w:rsidR="009A403B" w:rsidRPr="00854EF2" w:rsidRDefault="009A403B" w:rsidP="009A403B">
      <w:r w:rsidRPr="00854EF2">
        <w:t xml:space="preserve">Meyers, L.S., </w:t>
      </w:r>
      <w:proofErr w:type="spellStart"/>
      <w:r w:rsidRPr="00854EF2">
        <w:t>Guarino</w:t>
      </w:r>
      <w:proofErr w:type="spellEnd"/>
      <w:r w:rsidRPr="00854EF2">
        <w:t xml:space="preserve">, A. and </w:t>
      </w:r>
      <w:proofErr w:type="spellStart"/>
      <w:r w:rsidRPr="00854EF2">
        <w:t>Gamst</w:t>
      </w:r>
      <w:proofErr w:type="spellEnd"/>
      <w:r w:rsidRPr="00854EF2">
        <w:t>, G. (2005). Applied Multivariate Research: Design and Interpretation. Sage Publications.</w:t>
      </w:r>
    </w:p>
    <w:p w14:paraId="39BA7DC0" w14:textId="77777777" w:rsidR="00180EC5" w:rsidRDefault="00854EF2" w:rsidP="00853BDF">
      <w:r>
        <w:t>Nguyen, T. K. O.</w:t>
      </w:r>
      <w:r w:rsidR="00180EC5">
        <w:t xml:space="preserve"> and Mai. T. T. P. (2008). Emission Inventory for Motorcycles in Hanoi Using the International Vehicle Emission Model. Prepared for Regional Workshop for East Asia on the Partnership for Clean Fuels and Vehicles. Bangkok: Environmental Engineering and Management Program, School of Environment, Resources and Development, Asian Institute of Technology.</w:t>
      </w:r>
    </w:p>
    <w:p w14:paraId="4276F675" w14:textId="74A88222" w:rsidR="009A403B" w:rsidRPr="00854EF2" w:rsidRDefault="009A403B" w:rsidP="009A403B">
      <w:r w:rsidRPr="00854EF2">
        <w:t>Rose</w:t>
      </w:r>
      <w:r>
        <w:t>, J.M.</w:t>
      </w:r>
      <w:r w:rsidRPr="00854EF2">
        <w:t xml:space="preserve"> </w:t>
      </w:r>
      <w:r>
        <w:t>and</w:t>
      </w:r>
      <w:r w:rsidRPr="00854EF2">
        <w:t xml:space="preserve"> </w:t>
      </w:r>
      <w:proofErr w:type="spellStart"/>
      <w:r w:rsidRPr="00854EF2">
        <w:t>Bliemer</w:t>
      </w:r>
      <w:proofErr w:type="spellEnd"/>
      <w:r>
        <w:t>, M.C.J.</w:t>
      </w:r>
      <w:r w:rsidRPr="00854EF2">
        <w:t xml:space="preserve"> (2009)</w:t>
      </w:r>
      <w:r>
        <w:t>.</w:t>
      </w:r>
      <w:r w:rsidRPr="00854EF2">
        <w:t xml:space="preserve"> Constructing Efficient Stated Choice Experimental Designs, Transport Reviews: A Transnational Transdisciplinary Journal, 29:5, </w:t>
      </w:r>
      <w:proofErr w:type="gramStart"/>
      <w:r w:rsidRPr="00854EF2">
        <w:t>587</w:t>
      </w:r>
      <w:proofErr w:type="gramEnd"/>
      <w:r w:rsidRPr="00854EF2">
        <w:t>-617</w:t>
      </w:r>
      <w:r w:rsidR="00140D39">
        <w:t>.</w:t>
      </w:r>
    </w:p>
    <w:p w14:paraId="68D9B9D2" w14:textId="77777777" w:rsidR="00180EC5" w:rsidRDefault="00180EC5" w:rsidP="00853BDF">
      <w:r>
        <w:t xml:space="preserve">Rose, J.M., Louviere, J.J. and </w:t>
      </w:r>
      <w:proofErr w:type="spellStart"/>
      <w:r>
        <w:t>Bliemer</w:t>
      </w:r>
      <w:proofErr w:type="spellEnd"/>
      <w:r>
        <w:t>, M.C.J. (2013). Efficient stated choice designs allowing for variable choice set sizes, International Choice Modelling Conference, Sydney, Australia.</w:t>
      </w:r>
    </w:p>
    <w:p w14:paraId="03BAACE5" w14:textId="77777777" w:rsidR="00180EC5" w:rsidRDefault="00180EC5" w:rsidP="00853BDF">
      <w:r>
        <w:t>University of Transport &amp; Communications (2010). Bus Development Plan 2020. April.</w:t>
      </w:r>
    </w:p>
    <w:p w14:paraId="0A4B7BAF" w14:textId="3616BC69" w:rsidR="00854EF2" w:rsidRDefault="00743E96" w:rsidP="00853BDF">
      <w:r w:rsidRPr="002077B4">
        <w:t xml:space="preserve">Vu Anh Tuan, </w:t>
      </w:r>
      <w:proofErr w:type="spellStart"/>
      <w:r w:rsidRPr="002077B4">
        <w:t>Iderlina</w:t>
      </w:r>
      <w:proofErr w:type="spellEnd"/>
      <w:r w:rsidRPr="002077B4">
        <w:t xml:space="preserve"> B. Mateo-</w:t>
      </w:r>
      <w:proofErr w:type="spellStart"/>
      <w:r w:rsidRPr="002077B4">
        <w:t>Babiano</w:t>
      </w:r>
      <w:proofErr w:type="spellEnd"/>
      <w:r w:rsidRPr="002077B4">
        <w:t xml:space="preserve"> (2013). Motorcycle Taxi Service in Vietnam – Its Socioeconomic Impacts and Policy Considerations. Papers of the </w:t>
      </w:r>
      <w:r w:rsidRPr="0004165D">
        <w:rPr>
          <w:i/>
        </w:rPr>
        <w:t>10</w:t>
      </w:r>
      <w:r w:rsidRPr="0004165D">
        <w:rPr>
          <w:i/>
          <w:vertAlign w:val="superscript"/>
        </w:rPr>
        <w:t>th</w:t>
      </w:r>
      <w:r w:rsidRPr="0004165D">
        <w:rPr>
          <w:i/>
        </w:rPr>
        <w:t xml:space="preserve"> Conference of the Eastern Asia Society for Transportation Studies</w:t>
      </w:r>
      <w:r w:rsidRPr="002077B4">
        <w:t>, September 9-12, 2013, Taipei, Taiwan.</w:t>
      </w:r>
    </w:p>
    <w:sectPr w:rsidR="00854EF2" w:rsidSect="003120D4">
      <w:footerReference w:type="even" r:id="rId19"/>
      <w:footerReference w:type="default" r:id="rId20"/>
      <w:footerReference w:type="first" r:id="rId21"/>
      <w:pgSz w:w="11907" w:h="16840"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9539F" w14:textId="77777777" w:rsidR="009D400F" w:rsidRDefault="009D400F" w:rsidP="00B27094">
      <w:r>
        <w:separator/>
      </w:r>
    </w:p>
  </w:endnote>
  <w:endnote w:type="continuationSeparator" w:id="0">
    <w:p w14:paraId="4F09C472" w14:textId="77777777" w:rsidR="009D400F" w:rsidRDefault="009D400F" w:rsidP="00B2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Euphemia">
    <w:altName w:val="Gadugi"/>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C347D" w14:textId="77777777" w:rsidR="00002089" w:rsidRPr="00B22B24" w:rsidRDefault="00002089" w:rsidP="00B27094">
    <w:pPr>
      <w:pStyle w:val="Footer"/>
    </w:pPr>
    <w:r>
      <w:fldChar w:fldCharType="begin"/>
    </w:r>
    <w:r>
      <w:instrText xml:space="preserve"> PAGE   \* MERGEFORMAT </w:instrText>
    </w:r>
    <w:r>
      <w:fldChar w:fldCharType="separate"/>
    </w:r>
    <w:r>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E2C0A" w14:textId="77777777" w:rsidR="00002089" w:rsidRDefault="00002089" w:rsidP="00B27094">
    <w:pPr>
      <w:pStyle w:val="Footer"/>
    </w:pPr>
    <w:r>
      <w:fldChar w:fldCharType="begin"/>
    </w:r>
    <w:r>
      <w:instrText xml:space="preserve"> PAGE   \* MERGEFORMAT </w:instrText>
    </w:r>
    <w:r>
      <w:fldChar w:fldCharType="separate"/>
    </w:r>
    <w:r w:rsidR="00EE7F05">
      <w:rPr>
        <w:noProof/>
      </w:rPr>
      <w:t>15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A5F61" w14:textId="77777777" w:rsidR="00002089" w:rsidRDefault="00002089" w:rsidP="00B27094">
    <w:pPr>
      <w:pStyle w:val="Footer"/>
    </w:pPr>
    <w:r>
      <w:fldChar w:fldCharType="begin"/>
    </w:r>
    <w:r>
      <w:instrText xml:space="preserve"> PAGE   \* MERGEFORMAT </w:instrText>
    </w:r>
    <w:r>
      <w:fldChar w:fldCharType="separate"/>
    </w:r>
    <w:r w:rsidR="00EE7F0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82DAE" w14:textId="77777777" w:rsidR="009D400F" w:rsidRDefault="009D400F" w:rsidP="00B27094">
      <w:r>
        <w:separator/>
      </w:r>
    </w:p>
  </w:footnote>
  <w:footnote w:type="continuationSeparator" w:id="0">
    <w:p w14:paraId="55E5CFE1" w14:textId="77777777" w:rsidR="009D400F" w:rsidRDefault="009D400F" w:rsidP="00B270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3E0B740"/>
    <w:lvl w:ilvl="0">
      <w:start w:val="1"/>
      <w:numFmt w:val="decimal"/>
      <w:lvlText w:val="%1."/>
      <w:lvlJc w:val="left"/>
      <w:pPr>
        <w:tabs>
          <w:tab w:val="num" w:pos="1492"/>
        </w:tabs>
        <w:ind w:left="1492" w:hanging="360"/>
      </w:pPr>
    </w:lvl>
  </w:abstractNum>
  <w:abstractNum w:abstractNumId="1">
    <w:nsid w:val="FFFFFF7D"/>
    <w:multiLevelType w:val="singleLevel"/>
    <w:tmpl w:val="4BCA0E64"/>
    <w:lvl w:ilvl="0">
      <w:start w:val="1"/>
      <w:numFmt w:val="decimal"/>
      <w:lvlText w:val="%1."/>
      <w:lvlJc w:val="left"/>
      <w:pPr>
        <w:tabs>
          <w:tab w:val="num" w:pos="1209"/>
        </w:tabs>
        <w:ind w:left="1209" w:hanging="360"/>
      </w:pPr>
    </w:lvl>
  </w:abstractNum>
  <w:abstractNum w:abstractNumId="2">
    <w:nsid w:val="FFFFFF7E"/>
    <w:multiLevelType w:val="singleLevel"/>
    <w:tmpl w:val="07B2803E"/>
    <w:lvl w:ilvl="0">
      <w:start w:val="1"/>
      <w:numFmt w:val="decimal"/>
      <w:lvlText w:val="%1."/>
      <w:lvlJc w:val="left"/>
      <w:pPr>
        <w:tabs>
          <w:tab w:val="num" w:pos="926"/>
        </w:tabs>
        <w:ind w:left="926" w:hanging="360"/>
      </w:pPr>
    </w:lvl>
  </w:abstractNum>
  <w:abstractNum w:abstractNumId="3">
    <w:nsid w:val="FFFFFF7F"/>
    <w:multiLevelType w:val="singleLevel"/>
    <w:tmpl w:val="57F26B0C"/>
    <w:lvl w:ilvl="0">
      <w:start w:val="1"/>
      <w:numFmt w:val="decimal"/>
      <w:lvlText w:val="%1."/>
      <w:lvlJc w:val="left"/>
      <w:pPr>
        <w:tabs>
          <w:tab w:val="num" w:pos="643"/>
        </w:tabs>
        <w:ind w:left="643" w:hanging="360"/>
      </w:pPr>
    </w:lvl>
  </w:abstractNum>
  <w:abstractNum w:abstractNumId="4">
    <w:nsid w:val="FFFFFF80"/>
    <w:multiLevelType w:val="singleLevel"/>
    <w:tmpl w:val="67B291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DE0F9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8CBA9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6CD6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0A22EFE"/>
    <w:lvl w:ilvl="0">
      <w:start w:val="1"/>
      <w:numFmt w:val="decimal"/>
      <w:lvlText w:val="%1."/>
      <w:lvlJc w:val="left"/>
      <w:pPr>
        <w:tabs>
          <w:tab w:val="num" w:pos="360"/>
        </w:tabs>
        <w:ind w:left="360" w:hanging="360"/>
      </w:pPr>
    </w:lvl>
  </w:abstractNum>
  <w:abstractNum w:abstractNumId="9">
    <w:nsid w:val="FFFFFF89"/>
    <w:multiLevelType w:val="singleLevel"/>
    <w:tmpl w:val="226AA972"/>
    <w:lvl w:ilvl="0">
      <w:start w:val="1"/>
      <w:numFmt w:val="bullet"/>
      <w:lvlText w:val=""/>
      <w:lvlJc w:val="left"/>
      <w:pPr>
        <w:tabs>
          <w:tab w:val="num" w:pos="360"/>
        </w:tabs>
        <w:ind w:left="360" w:hanging="360"/>
      </w:pPr>
      <w:rPr>
        <w:rFonts w:ascii="Symbol" w:hAnsi="Symbol" w:hint="default"/>
      </w:rPr>
    </w:lvl>
  </w:abstractNum>
  <w:abstractNum w:abstractNumId="10">
    <w:nsid w:val="01B64BD4"/>
    <w:multiLevelType w:val="hybridMultilevel"/>
    <w:tmpl w:val="98B28F5E"/>
    <w:lvl w:ilvl="0" w:tplc="0C090001">
      <w:start w:val="1"/>
      <w:numFmt w:val="bullet"/>
      <w:lvlText w:val=""/>
      <w:lvlJc w:val="left"/>
      <w:pPr>
        <w:ind w:left="851" w:hanging="360"/>
      </w:pPr>
      <w:rPr>
        <w:rFonts w:ascii="Symbol" w:hAnsi="Symbol" w:hint="default"/>
      </w:rPr>
    </w:lvl>
    <w:lvl w:ilvl="1" w:tplc="0C090003" w:tentative="1">
      <w:start w:val="1"/>
      <w:numFmt w:val="bullet"/>
      <w:lvlText w:val="o"/>
      <w:lvlJc w:val="left"/>
      <w:pPr>
        <w:ind w:left="1571" w:hanging="360"/>
      </w:pPr>
      <w:rPr>
        <w:rFonts w:ascii="Courier New" w:hAnsi="Courier New" w:cs="Arial" w:hint="default"/>
      </w:rPr>
    </w:lvl>
    <w:lvl w:ilvl="2" w:tplc="0C090005" w:tentative="1">
      <w:start w:val="1"/>
      <w:numFmt w:val="bullet"/>
      <w:lvlText w:val=""/>
      <w:lvlJc w:val="left"/>
      <w:pPr>
        <w:ind w:left="2291" w:hanging="360"/>
      </w:pPr>
      <w:rPr>
        <w:rFonts w:ascii="Wingdings" w:hAnsi="Wingdings" w:hint="default"/>
      </w:rPr>
    </w:lvl>
    <w:lvl w:ilvl="3" w:tplc="0C090001" w:tentative="1">
      <w:start w:val="1"/>
      <w:numFmt w:val="bullet"/>
      <w:lvlText w:val=""/>
      <w:lvlJc w:val="left"/>
      <w:pPr>
        <w:ind w:left="3011" w:hanging="360"/>
      </w:pPr>
      <w:rPr>
        <w:rFonts w:ascii="Symbol" w:hAnsi="Symbol" w:hint="default"/>
      </w:rPr>
    </w:lvl>
    <w:lvl w:ilvl="4" w:tplc="0C090003" w:tentative="1">
      <w:start w:val="1"/>
      <w:numFmt w:val="bullet"/>
      <w:lvlText w:val="o"/>
      <w:lvlJc w:val="left"/>
      <w:pPr>
        <w:ind w:left="3731" w:hanging="360"/>
      </w:pPr>
      <w:rPr>
        <w:rFonts w:ascii="Courier New" w:hAnsi="Courier New" w:cs="Arial" w:hint="default"/>
      </w:rPr>
    </w:lvl>
    <w:lvl w:ilvl="5" w:tplc="0C090005" w:tentative="1">
      <w:start w:val="1"/>
      <w:numFmt w:val="bullet"/>
      <w:lvlText w:val=""/>
      <w:lvlJc w:val="left"/>
      <w:pPr>
        <w:ind w:left="4451" w:hanging="360"/>
      </w:pPr>
      <w:rPr>
        <w:rFonts w:ascii="Wingdings" w:hAnsi="Wingdings" w:hint="default"/>
      </w:rPr>
    </w:lvl>
    <w:lvl w:ilvl="6" w:tplc="0C090001" w:tentative="1">
      <w:start w:val="1"/>
      <w:numFmt w:val="bullet"/>
      <w:lvlText w:val=""/>
      <w:lvlJc w:val="left"/>
      <w:pPr>
        <w:ind w:left="5171" w:hanging="360"/>
      </w:pPr>
      <w:rPr>
        <w:rFonts w:ascii="Symbol" w:hAnsi="Symbol" w:hint="default"/>
      </w:rPr>
    </w:lvl>
    <w:lvl w:ilvl="7" w:tplc="0C090003" w:tentative="1">
      <w:start w:val="1"/>
      <w:numFmt w:val="bullet"/>
      <w:lvlText w:val="o"/>
      <w:lvlJc w:val="left"/>
      <w:pPr>
        <w:ind w:left="5891" w:hanging="360"/>
      </w:pPr>
      <w:rPr>
        <w:rFonts w:ascii="Courier New" w:hAnsi="Courier New" w:cs="Arial" w:hint="default"/>
      </w:rPr>
    </w:lvl>
    <w:lvl w:ilvl="8" w:tplc="0C090005" w:tentative="1">
      <w:start w:val="1"/>
      <w:numFmt w:val="bullet"/>
      <w:lvlText w:val=""/>
      <w:lvlJc w:val="left"/>
      <w:pPr>
        <w:ind w:left="6611" w:hanging="360"/>
      </w:pPr>
      <w:rPr>
        <w:rFonts w:ascii="Wingdings" w:hAnsi="Wingdings" w:hint="default"/>
      </w:rPr>
    </w:lvl>
  </w:abstractNum>
  <w:abstractNum w:abstractNumId="11">
    <w:nsid w:val="04A678E7"/>
    <w:multiLevelType w:val="hybridMultilevel"/>
    <w:tmpl w:val="35988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EE1BBD"/>
    <w:multiLevelType w:val="hybridMultilevel"/>
    <w:tmpl w:val="5D420CD6"/>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DD30314"/>
    <w:multiLevelType w:val="hybridMultilevel"/>
    <w:tmpl w:val="71788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E7555A8"/>
    <w:multiLevelType w:val="hybridMultilevel"/>
    <w:tmpl w:val="CD7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EBD082C"/>
    <w:multiLevelType w:val="hybridMultilevel"/>
    <w:tmpl w:val="57C6B7F2"/>
    <w:lvl w:ilvl="0" w:tplc="1CA2DD02">
      <w:start w:val="1"/>
      <w:numFmt w:val="bullet"/>
      <w:lvlText w:val=""/>
      <w:lvlJc w:val="left"/>
      <w:pPr>
        <w:tabs>
          <w:tab w:val="num" w:pos="720"/>
        </w:tabs>
        <w:ind w:left="720" w:hanging="49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33344D4"/>
    <w:multiLevelType w:val="hybridMultilevel"/>
    <w:tmpl w:val="21D652DC"/>
    <w:lvl w:ilvl="0" w:tplc="759078DC">
      <w:start w:val="1"/>
      <w:numFmt w:val="decimal"/>
      <w:lvlText w:val="Heading level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937153C"/>
    <w:multiLevelType w:val="multilevel"/>
    <w:tmpl w:val="E71A79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FD311EE"/>
    <w:multiLevelType w:val="hybridMultilevel"/>
    <w:tmpl w:val="FD461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404337"/>
    <w:multiLevelType w:val="hybridMultilevel"/>
    <w:tmpl w:val="B7A24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260691D"/>
    <w:multiLevelType w:val="hybridMultilevel"/>
    <w:tmpl w:val="7E9E1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49439D"/>
    <w:multiLevelType w:val="hybridMultilevel"/>
    <w:tmpl w:val="3A46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9C545B"/>
    <w:multiLevelType w:val="multilevel"/>
    <w:tmpl w:val="BA9C6AB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40595E3F"/>
    <w:multiLevelType w:val="hybridMultilevel"/>
    <w:tmpl w:val="7690E42E"/>
    <w:lvl w:ilvl="0" w:tplc="0C090005">
      <w:start w:val="14"/>
      <w:numFmt w:val="bullet"/>
      <w:pStyle w:val="ListBullet2"/>
      <w:lvlText w:val="-"/>
      <w:lvlJc w:val="left"/>
      <w:pPr>
        <w:ind w:left="1287" w:hanging="360"/>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40803861"/>
    <w:multiLevelType w:val="hybridMultilevel"/>
    <w:tmpl w:val="4F68B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E91CEC"/>
    <w:multiLevelType w:val="hybridMultilevel"/>
    <w:tmpl w:val="FB7422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297816"/>
    <w:multiLevelType w:val="hybridMultilevel"/>
    <w:tmpl w:val="8048AF56"/>
    <w:lvl w:ilvl="0" w:tplc="0C09000F">
      <w:start w:val="1"/>
      <w:numFmt w:val="decimal"/>
      <w:lvlText w:val="%1."/>
      <w:lvlJc w:val="left"/>
      <w:pPr>
        <w:ind w:left="851" w:hanging="360"/>
      </w:pPr>
    </w:lvl>
    <w:lvl w:ilvl="1" w:tplc="0C090019" w:tentative="1">
      <w:start w:val="1"/>
      <w:numFmt w:val="lowerLetter"/>
      <w:lvlText w:val="%2."/>
      <w:lvlJc w:val="left"/>
      <w:pPr>
        <w:ind w:left="1571" w:hanging="360"/>
      </w:pPr>
    </w:lvl>
    <w:lvl w:ilvl="2" w:tplc="0C09001B" w:tentative="1">
      <w:start w:val="1"/>
      <w:numFmt w:val="lowerRoman"/>
      <w:lvlText w:val="%3."/>
      <w:lvlJc w:val="right"/>
      <w:pPr>
        <w:ind w:left="2291" w:hanging="180"/>
      </w:pPr>
    </w:lvl>
    <w:lvl w:ilvl="3" w:tplc="0C09000F" w:tentative="1">
      <w:start w:val="1"/>
      <w:numFmt w:val="decimal"/>
      <w:lvlText w:val="%4."/>
      <w:lvlJc w:val="left"/>
      <w:pPr>
        <w:ind w:left="3011" w:hanging="360"/>
      </w:pPr>
    </w:lvl>
    <w:lvl w:ilvl="4" w:tplc="0C090019" w:tentative="1">
      <w:start w:val="1"/>
      <w:numFmt w:val="lowerLetter"/>
      <w:lvlText w:val="%5."/>
      <w:lvlJc w:val="left"/>
      <w:pPr>
        <w:ind w:left="3731" w:hanging="360"/>
      </w:pPr>
    </w:lvl>
    <w:lvl w:ilvl="5" w:tplc="0C09001B" w:tentative="1">
      <w:start w:val="1"/>
      <w:numFmt w:val="lowerRoman"/>
      <w:lvlText w:val="%6."/>
      <w:lvlJc w:val="right"/>
      <w:pPr>
        <w:ind w:left="4451" w:hanging="180"/>
      </w:pPr>
    </w:lvl>
    <w:lvl w:ilvl="6" w:tplc="0C09000F" w:tentative="1">
      <w:start w:val="1"/>
      <w:numFmt w:val="decimal"/>
      <w:lvlText w:val="%7."/>
      <w:lvlJc w:val="left"/>
      <w:pPr>
        <w:ind w:left="5171" w:hanging="360"/>
      </w:pPr>
    </w:lvl>
    <w:lvl w:ilvl="7" w:tplc="0C090019" w:tentative="1">
      <w:start w:val="1"/>
      <w:numFmt w:val="lowerLetter"/>
      <w:lvlText w:val="%8."/>
      <w:lvlJc w:val="left"/>
      <w:pPr>
        <w:ind w:left="5891" w:hanging="360"/>
      </w:pPr>
    </w:lvl>
    <w:lvl w:ilvl="8" w:tplc="0C09001B" w:tentative="1">
      <w:start w:val="1"/>
      <w:numFmt w:val="lowerRoman"/>
      <w:lvlText w:val="%9."/>
      <w:lvlJc w:val="right"/>
      <w:pPr>
        <w:ind w:left="6611" w:hanging="180"/>
      </w:pPr>
    </w:lvl>
  </w:abstractNum>
  <w:abstractNum w:abstractNumId="27">
    <w:nsid w:val="4D487889"/>
    <w:multiLevelType w:val="multilevel"/>
    <w:tmpl w:val="EE7239B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4A873E2"/>
    <w:multiLevelType w:val="hybridMultilevel"/>
    <w:tmpl w:val="00E6B6EA"/>
    <w:lvl w:ilvl="0" w:tplc="A8646DD0">
      <w:start w:val="1"/>
      <w:numFmt w:val="bullet"/>
      <w:pStyle w:val="Normaltablebullet"/>
      <w:lvlText w:val=""/>
      <w:lvlJc w:val="left"/>
      <w:pPr>
        <w:ind w:left="720" w:hanging="360"/>
      </w:pPr>
      <w:rPr>
        <w:rFonts w:ascii="Symbol" w:hAnsi="Symbol" w:hint="default"/>
        <w:sz w:val="18"/>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29">
    <w:nsid w:val="580C7BFB"/>
    <w:multiLevelType w:val="hybridMultilevel"/>
    <w:tmpl w:val="D554A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7AB60F6"/>
    <w:multiLevelType w:val="hybridMultilevel"/>
    <w:tmpl w:val="5CFCB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FD74A79"/>
    <w:multiLevelType w:val="hybridMultilevel"/>
    <w:tmpl w:val="7DBE8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59F1E31"/>
    <w:multiLevelType w:val="multilevel"/>
    <w:tmpl w:val="C9900F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CFD4603"/>
    <w:multiLevelType w:val="hybridMultilevel"/>
    <w:tmpl w:val="CFF0DAB4"/>
    <w:lvl w:ilvl="0" w:tplc="B24ECDC0">
      <w:start w:val="1"/>
      <w:numFmt w:val="bullet"/>
      <w:pStyle w:val="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7"/>
  </w:num>
  <w:num w:numId="4">
    <w:abstractNumId w:val="22"/>
  </w:num>
  <w:num w:numId="5">
    <w:abstractNumId w:val="27"/>
  </w:num>
  <w:num w:numId="6">
    <w:abstractNumId w:val="30"/>
  </w:num>
  <w:num w:numId="7">
    <w:abstractNumId w:val="10"/>
  </w:num>
  <w:num w:numId="8">
    <w:abstractNumId w:val="11"/>
  </w:num>
  <w:num w:numId="9">
    <w:abstractNumId w:val="20"/>
  </w:num>
  <w:num w:numId="10">
    <w:abstractNumId w:val="29"/>
  </w:num>
  <w:num w:numId="11">
    <w:abstractNumId w:val="12"/>
  </w:num>
  <w:num w:numId="12">
    <w:abstractNumId w:val="31"/>
  </w:num>
  <w:num w:numId="13">
    <w:abstractNumId w:val="26"/>
  </w:num>
  <w:num w:numId="14">
    <w:abstractNumId w:val="14"/>
  </w:num>
  <w:num w:numId="15">
    <w:abstractNumId w:val="18"/>
  </w:num>
  <w:num w:numId="16">
    <w:abstractNumId w:val="21"/>
  </w:num>
  <w:num w:numId="17">
    <w:abstractNumId w:val="32"/>
  </w:num>
  <w:num w:numId="18">
    <w:abstractNumId w:val="16"/>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5"/>
  </w:num>
  <w:num w:numId="30">
    <w:abstractNumId w:val="23"/>
  </w:num>
  <w:num w:numId="31">
    <w:abstractNumId w:val="33"/>
  </w:num>
  <w:num w:numId="32">
    <w:abstractNumId w:val="24"/>
  </w:num>
  <w:num w:numId="33">
    <w:abstractNumId w:val="28"/>
  </w:num>
  <w:num w:numId="34">
    <w:abstractNumId w:val="33"/>
  </w:num>
  <w:num w:numId="35">
    <w:abstractNumId w:val="33"/>
  </w:num>
  <w:num w:numId="36">
    <w:abstractNumId w:val="3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B0"/>
    <w:rsid w:val="00002089"/>
    <w:rsid w:val="00007FFA"/>
    <w:rsid w:val="00017248"/>
    <w:rsid w:val="0002590F"/>
    <w:rsid w:val="0003517A"/>
    <w:rsid w:val="000360E3"/>
    <w:rsid w:val="00036FF5"/>
    <w:rsid w:val="000410B7"/>
    <w:rsid w:val="00041E36"/>
    <w:rsid w:val="00042AD0"/>
    <w:rsid w:val="00050CA3"/>
    <w:rsid w:val="0005279D"/>
    <w:rsid w:val="0005342A"/>
    <w:rsid w:val="00054D78"/>
    <w:rsid w:val="00055124"/>
    <w:rsid w:val="0006346B"/>
    <w:rsid w:val="00065EE6"/>
    <w:rsid w:val="000673F6"/>
    <w:rsid w:val="00070716"/>
    <w:rsid w:val="00074AD7"/>
    <w:rsid w:val="00082269"/>
    <w:rsid w:val="000863A9"/>
    <w:rsid w:val="000926E7"/>
    <w:rsid w:val="000A0D3B"/>
    <w:rsid w:val="000A4E0E"/>
    <w:rsid w:val="000A60BB"/>
    <w:rsid w:val="000B1CF1"/>
    <w:rsid w:val="000B36DB"/>
    <w:rsid w:val="000B64F4"/>
    <w:rsid w:val="000C3256"/>
    <w:rsid w:val="000D3E1C"/>
    <w:rsid w:val="000E01BC"/>
    <w:rsid w:val="000E037E"/>
    <w:rsid w:val="000F0F7F"/>
    <w:rsid w:val="000F19C5"/>
    <w:rsid w:val="00104AEE"/>
    <w:rsid w:val="00104E21"/>
    <w:rsid w:val="00107EF9"/>
    <w:rsid w:val="00110B25"/>
    <w:rsid w:val="0011100E"/>
    <w:rsid w:val="0011744B"/>
    <w:rsid w:val="001263BD"/>
    <w:rsid w:val="0013105D"/>
    <w:rsid w:val="00140D39"/>
    <w:rsid w:val="00142467"/>
    <w:rsid w:val="001450D3"/>
    <w:rsid w:val="001535E2"/>
    <w:rsid w:val="00153A53"/>
    <w:rsid w:val="00162809"/>
    <w:rsid w:val="00163133"/>
    <w:rsid w:val="001655C6"/>
    <w:rsid w:val="0016711A"/>
    <w:rsid w:val="00167380"/>
    <w:rsid w:val="00167D44"/>
    <w:rsid w:val="00180C8F"/>
    <w:rsid w:val="00180EC5"/>
    <w:rsid w:val="00183EF9"/>
    <w:rsid w:val="00186283"/>
    <w:rsid w:val="0019007A"/>
    <w:rsid w:val="0019064E"/>
    <w:rsid w:val="001A5FC9"/>
    <w:rsid w:val="001B6552"/>
    <w:rsid w:val="001B6D16"/>
    <w:rsid w:val="001C074F"/>
    <w:rsid w:val="001C6E2C"/>
    <w:rsid w:val="001D56E9"/>
    <w:rsid w:val="001D6838"/>
    <w:rsid w:val="001E1F80"/>
    <w:rsid w:val="001E22B7"/>
    <w:rsid w:val="001F0CB0"/>
    <w:rsid w:val="001F2E6D"/>
    <w:rsid w:val="00201359"/>
    <w:rsid w:val="00201EBC"/>
    <w:rsid w:val="002022B6"/>
    <w:rsid w:val="00207164"/>
    <w:rsid w:val="0021584C"/>
    <w:rsid w:val="002168CA"/>
    <w:rsid w:val="00223AF4"/>
    <w:rsid w:val="002355D0"/>
    <w:rsid w:val="0024776E"/>
    <w:rsid w:val="002517EF"/>
    <w:rsid w:val="002529A5"/>
    <w:rsid w:val="00253D3B"/>
    <w:rsid w:val="0026493C"/>
    <w:rsid w:val="002650AC"/>
    <w:rsid w:val="00272566"/>
    <w:rsid w:val="0028219B"/>
    <w:rsid w:val="0028361D"/>
    <w:rsid w:val="00287051"/>
    <w:rsid w:val="00295021"/>
    <w:rsid w:val="002B2CC8"/>
    <w:rsid w:val="002B2F97"/>
    <w:rsid w:val="002B461B"/>
    <w:rsid w:val="002B5D10"/>
    <w:rsid w:val="002B670E"/>
    <w:rsid w:val="002C6816"/>
    <w:rsid w:val="002D29C7"/>
    <w:rsid w:val="002F0AE4"/>
    <w:rsid w:val="002F2838"/>
    <w:rsid w:val="00310C91"/>
    <w:rsid w:val="00311378"/>
    <w:rsid w:val="003115C3"/>
    <w:rsid w:val="003120D4"/>
    <w:rsid w:val="00315413"/>
    <w:rsid w:val="003203A8"/>
    <w:rsid w:val="0032458C"/>
    <w:rsid w:val="00340531"/>
    <w:rsid w:val="0034457F"/>
    <w:rsid w:val="003601B2"/>
    <w:rsid w:val="003602C5"/>
    <w:rsid w:val="00361BD8"/>
    <w:rsid w:val="00372F12"/>
    <w:rsid w:val="00377E49"/>
    <w:rsid w:val="003816F0"/>
    <w:rsid w:val="003947EA"/>
    <w:rsid w:val="00395BF6"/>
    <w:rsid w:val="00397458"/>
    <w:rsid w:val="0039774B"/>
    <w:rsid w:val="003A6627"/>
    <w:rsid w:val="003B1BE1"/>
    <w:rsid w:val="003B5D7D"/>
    <w:rsid w:val="003C14EB"/>
    <w:rsid w:val="003C2900"/>
    <w:rsid w:val="003C4BB3"/>
    <w:rsid w:val="003C5030"/>
    <w:rsid w:val="003C69F7"/>
    <w:rsid w:val="003D0727"/>
    <w:rsid w:val="003D6DDF"/>
    <w:rsid w:val="003D78A2"/>
    <w:rsid w:val="003E4CEA"/>
    <w:rsid w:val="003F35C8"/>
    <w:rsid w:val="003F6800"/>
    <w:rsid w:val="00401B61"/>
    <w:rsid w:val="004022B4"/>
    <w:rsid w:val="00404F55"/>
    <w:rsid w:val="00411209"/>
    <w:rsid w:val="00415900"/>
    <w:rsid w:val="00443A89"/>
    <w:rsid w:val="00443E49"/>
    <w:rsid w:val="00453F53"/>
    <w:rsid w:val="00485ED5"/>
    <w:rsid w:val="004A663F"/>
    <w:rsid w:val="004A6870"/>
    <w:rsid w:val="004B0A40"/>
    <w:rsid w:val="004B1189"/>
    <w:rsid w:val="004B5CA4"/>
    <w:rsid w:val="004B73C4"/>
    <w:rsid w:val="004C6563"/>
    <w:rsid w:val="004C7604"/>
    <w:rsid w:val="004D32CC"/>
    <w:rsid w:val="004D433C"/>
    <w:rsid w:val="00500E56"/>
    <w:rsid w:val="00502AFC"/>
    <w:rsid w:val="00504536"/>
    <w:rsid w:val="00506473"/>
    <w:rsid w:val="005075FD"/>
    <w:rsid w:val="005151AD"/>
    <w:rsid w:val="005157CA"/>
    <w:rsid w:val="00520E6A"/>
    <w:rsid w:val="00527CB7"/>
    <w:rsid w:val="005327E9"/>
    <w:rsid w:val="0053604B"/>
    <w:rsid w:val="00536D00"/>
    <w:rsid w:val="00540077"/>
    <w:rsid w:val="005465BD"/>
    <w:rsid w:val="00546D63"/>
    <w:rsid w:val="00554563"/>
    <w:rsid w:val="00556D52"/>
    <w:rsid w:val="00557C6C"/>
    <w:rsid w:val="005600F9"/>
    <w:rsid w:val="0056350C"/>
    <w:rsid w:val="00564760"/>
    <w:rsid w:val="00572FCB"/>
    <w:rsid w:val="00596F76"/>
    <w:rsid w:val="005A2189"/>
    <w:rsid w:val="005C0309"/>
    <w:rsid w:val="005C2942"/>
    <w:rsid w:val="005C3F36"/>
    <w:rsid w:val="005D0FD1"/>
    <w:rsid w:val="005D1515"/>
    <w:rsid w:val="005E1317"/>
    <w:rsid w:val="005E184D"/>
    <w:rsid w:val="005E5661"/>
    <w:rsid w:val="005E6C02"/>
    <w:rsid w:val="005E6C6D"/>
    <w:rsid w:val="005F3EEF"/>
    <w:rsid w:val="005F6B9B"/>
    <w:rsid w:val="005F734A"/>
    <w:rsid w:val="00601D12"/>
    <w:rsid w:val="00603B98"/>
    <w:rsid w:val="006041DF"/>
    <w:rsid w:val="00605119"/>
    <w:rsid w:val="00606A4A"/>
    <w:rsid w:val="006106BB"/>
    <w:rsid w:val="00613A9C"/>
    <w:rsid w:val="00630B64"/>
    <w:rsid w:val="00632C95"/>
    <w:rsid w:val="00641691"/>
    <w:rsid w:val="00642431"/>
    <w:rsid w:val="00654F51"/>
    <w:rsid w:val="006725B7"/>
    <w:rsid w:val="006843CF"/>
    <w:rsid w:val="00684F50"/>
    <w:rsid w:val="0069180A"/>
    <w:rsid w:val="006B07F9"/>
    <w:rsid w:val="006B176A"/>
    <w:rsid w:val="006C144F"/>
    <w:rsid w:val="006C5B12"/>
    <w:rsid w:val="006C761C"/>
    <w:rsid w:val="006C77BB"/>
    <w:rsid w:val="006D0B84"/>
    <w:rsid w:val="006D222E"/>
    <w:rsid w:val="006E7915"/>
    <w:rsid w:val="006F4C64"/>
    <w:rsid w:val="006F5D61"/>
    <w:rsid w:val="006F67DB"/>
    <w:rsid w:val="007205A5"/>
    <w:rsid w:val="00721446"/>
    <w:rsid w:val="007413A8"/>
    <w:rsid w:val="00743E96"/>
    <w:rsid w:val="007540C0"/>
    <w:rsid w:val="00757763"/>
    <w:rsid w:val="0076485B"/>
    <w:rsid w:val="007656DA"/>
    <w:rsid w:val="00766399"/>
    <w:rsid w:val="0077096A"/>
    <w:rsid w:val="00776126"/>
    <w:rsid w:val="007804CC"/>
    <w:rsid w:val="00781108"/>
    <w:rsid w:val="00782659"/>
    <w:rsid w:val="00795E0B"/>
    <w:rsid w:val="007A5985"/>
    <w:rsid w:val="007C0ACA"/>
    <w:rsid w:val="007C0F18"/>
    <w:rsid w:val="007C2E18"/>
    <w:rsid w:val="007D7390"/>
    <w:rsid w:val="007F0DB2"/>
    <w:rsid w:val="007F1B6A"/>
    <w:rsid w:val="007F4AF6"/>
    <w:rsid w:val="00801719"/>
    <w:rsid w:val="00801A81"/>
    <w:rsid w:val="008044E7"/>
    <w:rsid w:val="00806745"/>
    <w:rsid w:val="00813C8D"/>
    <w:rsid w:val="00815B4B"/>
    <w:rsid w:val="00815BE1"/>
    <w:rsid w:val="00832D85"/>
    <w:rsid w:val="0084352D"/>
    <w:rsid w:val="00850C47"/>
    <w:rsid w:val="00850DB0"/>
    <w:rsid w:val="00851C7A"/>
    <w:rsid w:val="008528E1"/>
    <w:rsid w:val="00853286"/>
    <w:rsid w:val="00853BDF"/>
    <w:rsid w:val="00854EF2"/>
    <w:rsid w:val="00857DEF"/>
    <w:rsid w:val="008735E4"/>
    <w:rsid w:val="00875FB8"/>
    <w:rsid w:val="00880010"/>
    <w:rsid w:val="008836C7"/>
    <w:rsid w:val="00890FE3"/>
    <w:rsid w:val="00891D8A"/>
    <w:rsid w:val="00894A99"/>
    <w:rsid w:val="008B11C2"/>
    <w:rsid w:val="008B29F3"/>
    <w:rsid w:val="008D7418"/>
    <w:rsid w:val="008E4BF1"/>
    <w:rsid w:val="00901584"/>
    <w:rsid w:val="00907504"/>
    <w:rsid w:val="00916672"/>
    <w:rsid w:val="00916B51"/>
    <w:rsid w:val="00923256"/>
    <w:rsid w:val="00930DCF"/>
    <w:rsid w:val="00942F5A"/>
    <w:rsid w:val="00946FD4"/>
    <w:rsid w:val="00947D74"/>
    <w:rsid w:val="009527D4"/>
    <w:rsid w:val="00960B2D"/>
    <w:rsid w:val="00962811"/>
    <w:rsid w:val="00964550"/>
    <w:rsid w:val="00965098"/>
    <w:rsid w:val="00992ECD"/>
    <w:rsid w:val="00997BA4"/>
    <w:rsid w:val="009A403B"/>
    <w:rsid w:val="009A44C4"/>
    <w:rsid w:val="009A5F92"/>
    <w:rsid w:val="009B11CB"/>
    <w:rsid w:val="009B204C"/>
    <w:rsid w:val="009C7FDB"/>
    <w:rsid w:val="009D36E1"/>
    <w:rsid w:val="009D400F"/>
    <w:rsid w:val="009D5588"/>
    <w:rsid w:val="009D7E21"/>
    <w:rsid w:val="009E07FC"/>
    <w:rsid w:val="009E6106"/>
    <w:rsid w:val="009F00DD"/>
    <w:rsid w:val="009F0A77"/>
    <w:rsid w:val="009F257B"/>
    <w:rsid w:val="009F3433"/>
    <w:rsid w:val="009F3B87"/>
    <w:rsid w:val="009F44AE"/>
    <w:rsid w:val="00A02279"/>
    <w:rsid w:val="00A02AA1"/>
    <w:rsid w:val="00A04EA6"/>
    <w:rsid w:val="00A129F5"/>
    <w:rsid w:val="00A27ACD"/>
    <w:rsid w:val="00A425E5"/>
    <w:rsid w:val="00A427FE"/>
    <w:rsid w:val="00A45570"/>
    <w:rsid w:val="00A45B7B"/>
    <w:rsid w:val="00A548D4"/>
    <w:rsid w:val="00A5554D"/>
    <w:rsid w:val="00A65928"/>
    <w:rsid w:val="00A66EBC"/>
    <w:rsid w:val="00A67925"/>
    <w:rsid w:val="00A760EE"/>
    <w:rsid w:val="00A77102"/>
    <w:rsid w:val="00A82175"/>
    <w:rsid w:val="00A857B1"/>
    <w:rsid w:val="00A87812"/>
    <w:rsid w:val="00A902AF"/>
    <w:rsid w:val="00A907A9"/>
    <w:rsid w:val="00A90A91"/>
    <w:rsid w:val="00A92DE7"/>
    <w:rsid w:val="00A9403D"/>
    <w:rsid w:val="00A9585A"/>
    <w:rsid w:val="00A9775F"/>
    <w:rsid w:val="00AA137E"/>
    <w:rsid w:val="00AA1498"/>
    <w:rsid w:val="00AA27DA"/>
    <w:rsid w:val="00AB367A"/>
    <w:rsid w:val="00AC0BF3"/>
    <w:rsid w:val="00AD11EA"/>
    <w:rsid w:val="00AD220E"/>
    <w:rsid w:val="00AD5D3C"/>
    <w:rsid w:val="00AE4170"/>
    <w:rsid w:val="00AE7D16"/>
    <w:rsid w:val="00AF2F6F"/>
    <w:rsid w:val="00AF3B3B"/>
    <w:rsid w:val="00AF40B1"/>
    <w:rsid w:val="00AF4EA2"/>
    <w:rsid w:val="00B0336E"/>
    <w:rsid w:val="00B053E2"/>
    <w:rsid w:val="00B26463"/>
    <w:rsid w:val="00B27094"/>
    <w:rsid w:val="00B30A30"/>
    <w:rsid w:val="00B32464"/>
    <w:rsid w:val="00B33FBA"/>
    <w:rsid w:val="00B36D2C"/>
    <w:rsid w:val="00B41439"/>
    <w:rsid w:val="00B460C0"/>
    <w:rsid w:val="00B52152"/>
    <w:rsid w:val="00B5283F"/>
    <w:rsid w:val="00B6387E"/>
    <w:rsid w:val="00B6464C"/>
    <w:rsid w:val="00B64F0D"/>
    <w:rsid w:val="00B8010A"/>
    <w:rsid w:val="00B85B82"/>
    <w:rsid w:val="00B90D66"/>
    <w:rsid w:val="00B957CA"/>
    <w:rsid w:val="00BA519E"/>
    <w:rsid w:val="00BA558C"/>
    <w:rsid w:val="00BB62B3"/>
    <w:rsid w:val="00BB6A29"/>
    <w:rsid w:val="00BD0E34"/>
    <w:rsid w:val="00BD438E"/>
    <w:rsid w:val="00BE788F"/>
    <w:rsid w:val="00BF0AE9"/>
    <w:rsid w:val="00BF4DB8"/>
    <w:rsid w:val="00C01F0A"/>
    <w:rsid w:val="00C024FB"/>
    <w:rsid w:val="00C047FF"/>
    <w:rsid w:val="00C07A17"/>
    <w:rsid w:val="00C14045"/>
    <w:rsid w:val="00C17C0C"/>
    <w:rsid w:val="00C20A92"/>
    <w:rsid w:val="00C21069"/>
    <w:rsid w:val="00C23B00"/>
    <w:rsid w:val="00C24B77"/>
    <w:rsid w:val="00C26B00"/>
    <w:rsid w:val="00C346AB"/>
    <w:rsid w:val="00C371C7"/>
    <w:rsid w:val="00C375E2"/>
    <w:rsid w:val="00C52EE6"/>
    <w:rsid w:val="00C53C50"/>
    <w:rsid w:val="00C53EF1"/>
    <w:rsid w:val="00C60F67"/>
    <w:rsid w:val="00C67EEF"/>
    <w:rsid w:val="00C773D6"/>
    <w:rsid w:val="00C776E4"/>
    <w:rsid w:val="00C77855"/>
    <w:rsid w:val="00C873A3"/>
    <w:rsid w:val="00C92244"/>
    <w:rsid w:val="00C92830"/>
    <w:rsid w:val="00C95344"/>
    <w:rsid w:val="00CA066F"/>
    <w:rsid w:val="00CB3EA1"/>
    <w:rsid w:val="00CB4713"/>
    <w:rsid w:val="00CB4E15"/>
    <w:rsid w:val="00CC0C8A"/>
    <w:rsid w:val="00CD5D10"/>
    <w:rsid w:val="00CD646A"/>
    <w:rsid w:val="00CE09E7"/>
    <w:rsid w:val="00CE12CB"/>
    <w:rsid w:val="00CE382E"/>
    <w:rsid w:val="00CF3D10"/>
    <w:rsid w:val="00CF65E1"/>
    <w:rsid w:val="00D10E29"/>
    <w:rsid w:val="00D12655"/>
    <w:rsid w:val="00D27E09"/>
    <w:rsid w:val="00D336F8"/>
    <w:rsid w:val="00D42340"/>
    <w:rsid w:val="00D44522"/>
    <w:rsid w:val="00D51021"/>
    <w:rsid w:val="00D57A89"/>
    <w:rsid w:val="00D65E5D"/>
    <w:rsid w:val="00D665C4"/>
    <w:rsid w:val="00D67B73"/>
    <w:rsid w:val="00D73A7F"/>
    <w:rsid w:val="00D748B5"/>
    <w:rsid w:val="00D75154"/>
    <w:rsid w:val="00D800A5"/>
    <w:rsid w:val="00D928A1"/>
    <w:rsid w:val="00D92E67"/>
    <w:rsid w:val="00D9716B"/>
    <w:rsid w:val="00DA4960"/>
    <w:rsid w:val="00DA54BD"/>
    <w:rsid w:val="00DB1C51"/>
    <w:rsid w:val="00DB3688"/>
    <w:rsid w:val="00DB509F"/>
    <w:rsid w:val="00DB5D4A"/>
    <w:rsid w:val="00DB7005"/>
    <w:rsid w:val="00DF4226"/>
    <w:rsid w:val="00E01319"/>
    <w:rsid w:val="00E078B9"/>
    <w:rsid w:val="00E1005D"/>
    <w:rsid w:val="00E14A7B"/>
    <w:rsid w:val="00E17A96"/>
    <w:rsid w:val="00E33D79"/>
    <w:rsid w:val="00E36FEF"/>
    <w:rsid w:val="00E42959"/>
    <w:rsid w:val="00E534FF"/>
    <w:rsid w:val="00E5353B"/>
    <w:rsid w:val="00E53F9C"/>
    <w:rsid w:val="00E5747C"/>
    <w:rsid w:val="00E61813"/>
    <w:rsid w:val="00E672DB"/>
    <w:rsid w:val="00E73748"/>
    <w:rsid w:val="00E765BA"/>
    <w:rsid w:val="00E778BD"/>
    <w:rsid w:val="00E83D7E"/>
    <w:rsid w:val="00E84E83"/>
    <w:rsid w:val="00E90F23"/>
    <w:rsid w:val="00E92384"/>
    <w:rsid w:val="00E92D46"/>
    <w:rsid w:val="00E978CA"/>
    <w:rsid w:val="00EA4F7A"/>
    <w:rsid w:val="00EA7102"/>
    <w:rsid w:val="00EA7374"/>
    <w:rsid w:val="00EA776E"/>
    <w:rsid w:val="00EB088B"/>
    <w:rsid w:val="00EB7167"/>
    <w:rsid w:val="00EC1491"/>
    <w:rsid w:val="00EC27D0"/>
    <w:rsid w:val="00EC2B3D"/>
    <w:rsid w:val="00ED60BB"/>
    <w:rsid w:val="00ED61E8"/>
    <w:rsid w:val="00ED70E8"/>
    <w:rsid w:val="00ED77D7"/>
    <w:rsid w:val="00ED78C0"/>
    <w:rsid w:val="00EE0525"/>
    <w:rsid w:val="00EE0938"/>
    <w:rsid w:val="00EE27C2"/>
    <w:rsid w:val="00EE2FCF"/>
    <w:rsid w:val="00EE4A37"/>
    <w:rsid w:val="00EE5BD3"/>
    <w:rsid w:val="00EE67F4"/>
    <w:rsid w:val="00EE7F05"/>
    <w:rsid w:val="00EF0E0B"/>
    <w:rsid w:val="00EF4624"/>
    <w:rsid w:val="00F00241"/>
    <w:rsid w:val="00F010A8"/>
    <w:rsid w:val="00F07DFF"/>
    <w:rsid w:val="00F1135A"/>
    <w:rsid w:val="00F143DC"/>
    <w:rsid w:val="00F17D07"/>
    <w:rsid w:val="00F2676F"/>
    <w:rsid w:val="00F3014F"/>
    <w:rsid w:val="00F32D74"/>
    <w:rsid w:val="00F34D49"/>
    <w:rsid w:val="00F43617"/>
    <w:rsid w:val="00F47F44"/>
    <w:rsid w:val="00F50F0B"/>
    <w:rsid w:val="00F57232"/>
    <w:rsid w:val="00F61378"/>
    <w:rsid w:val="00F672F6"/>
    <w:rsid w:val="00F72875"/>
    <w:rsid w:val="00F76F99"/>
    <w:rsid w:val="00F86E3A"/>
    <w:rsid w:val="00F86F9B"/>
    <w:rsid w:val="00F90A42"/>
    <w:rsid w:val="00F94837"/>
    <w:rsid w:val="00F956BC"/>
    <w:rsid w:val="00F96810"/>
    <w:rsid w:val="00F97C3E"/>
    <w:rsid w:val="00FA1F1F"/>
    <w:rsid w:val="00FA3FAF"/>
    <w:rsid w:val="00FC354C"/>
    <w:rsid w:val="00FC4CB2"/>
    <w:rsid w:val="00FD39BB"/>
    <w:rsid w:val="00FE3B4C"/>
    <w:rsid w:val="00FE4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56E21A"/>
  <w15:docId w15:val="{D230CC56-F656-4491-BEEF-42BC6761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Char"/>
    <w:qFormat/>
    <w:rsid w:val="00557C6C"/>
    <w:pPr>
      <w:spacing w:after="140"/>
      <w:jc w:val="both"/>
    </w:pPr>
    <w:rPr>
      <w:rFonts w:ascii="Arial" w:hAnsi="Arial"/>
      <w:sz w:val="22"/>
    </w:rPr>
  </w:style>
  <w:style w:type="paragraph" w:styleId="Heading1">
    <w:name w:val="heading 1"/>
    <w:basedOn w:val="Normal"/>
    <w:next w:val="Normal"/>
    <w:link w:val="Heading1Char"/>
    <w:uiPriority w:val="9"/>
    <w:rsid w:val="0031219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rsid w:val="006825B1"/>
    <w:pPr>
      <w:keepNext/>
      <w:keepLines/>
      <w:spacing w:before="200" w:after="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2168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12191"/>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6825B1"/>
    <w:rPr>
      <w:rFonts w:ascii="Cambria" w:eastAsia="Times New Roman" w:hAnsi="Cambria" w:cs="Times New Roman"/>
      <w:b/>
      <w:bCs/>
      <w:color w:val="4F81BD"/>
      <w:sz w:val="26"/>
      <w:szCs w:val="26"/>
    </w:rPr>
  </w:style>
  <w:style w:type="character" w:customStyle="1" w:styleId="Heading4Char">
    <w:name w:val="Heading 4 Char"/>
    <w:basedOn w:val="DefaultParagraphFont"/>
    <w:link w:val="Heading4"/>
    <w:uiPriority w:val="9"/>
    <w:semiHidden/>
    <w:rsid w:val="002168CA"/>
    <w:rPr>
      <w:rFonts w:asciiTheme="majorHAnsi" w:eastAsiaTheme="majorEastAsia" w:hAnsiTheme="majorHAnsi" w:cstheme="majorBidi"/>
      <w:b/>
      <w:bCs/>
      <w:i/>
      <w:iCs/>
      <w:color w:val="4F81BD" w:themeColor="accent1"/>
      <w:sz w:val="24"/>
      <w:szCs w:val="22"/>
      <w:lang w:eastAsia="en-US"/>
    </w:rPr>
  </w:style>
  <w:style w:type="paragraph" w:styleId="Header">
    <w:name w:val="header"/>
    <w:basedOn w:val="Normal"/>
    <w:link w:val="HeaderChar"/>
    <w:unhideWhenUsed/>
    <w:rsid w:val="00D90835"/>
    <w:pPr>
      <w:tabs>
        <w:tab w:val="center" w:pos="4513"/>
        <w:tab w:val="right" w:pos="9026"/>
      </w:tabs>
      <w:spacing w:after="0"/>
      <w:jc w:val="center"/>
    </w:pPr>
    <w:rPr>
      <w:rFonts w:cs="Arial"/>
    </w:rPr>
  </w:style>
  <w:style w:type="character" w:customStyle="1" w:styleId="HeaderChar">
    <w:name w:val="Header Char"/>
    <w:link w:val="Header"/>
    <w:rsid w:val="00D90835"/>
    <w:rPr>
      <w:rFonts w:ascii="Arial" w:hAnsi="Arial" w:cs="Arial"/>
    </w:rPr>
  </w:style>
  <w:style w:type="paragraph" w:styleId="Footer">
    <w:name w:val="footer"/>
    <w:basedOn w:val="Normal"/>
    <w:link w:val="FooterChar"/>
    <w:uiPriority w:val="99"/>
    <w:unhideWhenUsed/>
    <w:rsid w:val="00C96E6F"/>
    <w:pPr>
      <w:tabs>
        <w:tab w:val="center" w:pos="4513"/>
        <w:tab w:val="right" w:pos="9026"/>
      </w:tabs>
      <w:spacing w:after="0"/>
    </w:pPr>
  </w:style>
  <w:style w:type="character" w:customStyle="1" w:styleId="FooterChar">
    <w:name w:val="Footer Char"/>
    <w:basedOn w:val="DefaultParagraphFont"/>
    <w:link w:val="Footer"/>
    <w:uiPriority w:val="99"/>
    <w:rsid w:val="00C96E6F"/>
  </w:style>
  <w:style w:type="paragraph" w:customStyle="1" w:styleId="PublicationTitle">
    <w:name w:val="Publication Title"/>
    <w:basedOn w:val="Normal"/>
    <w:next w:val="AuthorName"/>
    <w:link w:val="PublicationTitleChar"/>
    <w:qFormat/>
    <w:rsid w:val="00FC4CB2"/>
    <w:pPr>
      <w:jc w:val="center"/>
    </w:pPr>
    <w:rPr>
      <w:b/>
      <w:sz w:val="32"/>
      <w:szCs w:val="32"/>
    </w:rPr>
  </w:style>
  <w:style w:type="paragraph" w:customStyle="1" w:styleId="AuthorName">
    <w:name w:val="Author Name"/>
    <w:basedOn w:val="Normal"/>
    <w:next w:val="AuthorAddress"/>
    <w:link w:val="AuthorNameChar"/>
    <w:qFormat/>
    <w:rsid w:val="00844452"/>
    <w:pPr>
      <w:jc w:val="center"/>
    </w:pPr>
    <w:rPr>
      <w:rFonts w:cs="Arial"/>
      <w:szCs w:val="24"/>
    </w:rPr>
  </w:style>
  <w:style w:type="paragraph" w:customStyle="1" w:styleId="AuthorAddress">
    <w:name w:val="Author Address"/>
    <w:basedOn w:val="Normal"/>
    <w:link w:val="AuthorAddressChar"/>
    <w:qFormat/>
    <w:rsid w:val="00844452"/>
    <w:pPr>
      <w:jc w:val="center"/>
    </w:pPr>
    <w:rPr>
      <w:rFonts w:cs="Arial"/>
      <w:sz w:val="20"/>
    </w:rPr>
  </w:style>
  <w:style w:type="character" w:customStyle="1" w:styleId="AuthorAddressChar">
    <w:name w:val="Author Address Char"/>
    <w:link w:val="AuthorAddress"/>
    <w:rsid w:val="00844452"/>
    <w:rPr>
      <w:rFonts w:ascii="Arial" w:hAnsi="Arial" w:cs="Arial"/>
      <w:lang w:eastAsia="en-US"/>
    </w:rPr>
  </w:style>
  <w:style w:type="character" w:customStyle="1" w:styleId="AuthorNameChar">
    <w:name w:val="Author Name Char"/>
    <w:link w:val="AuthorName"/>
    <w:rsid w:val="00844452"/>
    <w:rPr>
      <w:rFonts w:ascii="Arial" w:hAnsi="Arial" w:cs="Arial"/>
      <w:sz w:val="24"/>
      <w:szCs w:val="24"/>
      <w:lang w:eastAsia="en-US"/>
    </w:rPr>
  </w:style>
  <w:style w:type="character" w:customStyle="1" w:styleId="PublicationTitleChar">
    <w:name w:val="Publication Title Char"/>
    <w:link w:val="PublicationTitle"/>
    <w:rsid w:val="00FC4CB2"/>
    <w:rPr>
      <w:rFonts w:ascii="Arial" w:eastAsia="Calibri" w:hAnsi="Arial" w:cs="Arial"/>
      <w:b/>
      <w:sz w:val="32"/>
      <w:szCs w:val="32"/>
      <w:lang w:val="en-AU" w:eastAsia="en-US" w:bidi="ar-SA"/>
    </w:rPr>
  </w:style>
  <w:style w:type="character" w:styleId="Hyperlink">
    <w:name w:val="Hyperlink"/>
    <w:unhideWhenUsed/>
    <w:rsid w:val="00BB53FF"/>
    <w:rPr>
      <w:color w:val="0000FF"/>
      <w:u w:val="single"/>
    </w:rPr>
  </w:style>
  <w:style w:type="paragraph" w:styleId="BalloonText">
    <w:name w:val="Balloon Text"/>
    <w:basedOn w:val="Normal"/>
    <w:link w:val="BalloonTextChar"/>
    <w:uiPriority w:val="99"/>
    <w:semiHidden/>
    <w:unhideWhenUsed/>
    <w:rsid w:val="005374AC"/>
    <w:pPr>
      <w:spacing w:after="0"/>
    </w:pPr>
    <w:rPr>
      <w:rFonts w:ascii="Tahoma" w:hAnsi="Tahoma" w:cs="Tahoma"/>
      <w:sz w:val="16"/>
      <w:szCs w:val="16"/>
    </w:rPr>
  </w:style>
  <w:style w:type="character" w:customStyle="1" w:styleId="BalloonTextChar">
    <w:name w:val="Balloon Text Char"/>
    <w:link w:val="BalloonText"/>
    <w:uiPriority w:val="99"/>
    <w:semiHidden/>
    <w:rsid w:val="005374AC"/>
    <w:rPr>
      <w:rFonts w:ascii="Tahoma" w:hAnsi="Tahoma" w:cs="Tahoma"/>
      <w:sz w:val="16"/>
      <w:szCs w:val="16"/>
    </w:rPr>
  </w:style>
  <w:style w:type="paragraph" w:customStyle="1" w:styleId="AbstractTitle">
    <w:name w:val="Abstract Title"/>
    <w:basedOn w:val="Normal"/>
    <w:next w:val="Normal"/>
    <w:link w:val="AbstractTitleChar"/>
    <w:qFormat/>
    <w:rsid w:val="00FC4CB2"/>
    <w:pPr>
      <w:spacing w:before="240"/>
      <w:jc w:val="center"/>
    </w:pPr>
    <w:rPr>
      <w:b/>
      <w:sz w:val="28"/>
      <w:szCs w:val="28"/>
    </w:rPr>
  </w:style>
  <w:style w:type="character" w:customStyle="1" w:styleId="AbstractTitleChar">
    <w:name w:val="Abstract Title Char"/>
    <w:link w:val="AbstractTitle"/>
    <w:rsid w:val="00FC4CB2"/>
    <w:rPr>
      <w:rFonts w:ascii="Arial" w:eastAsia="Calibri" w:hAnsi="Arial" w:cs="Arial"/>
      <w:b/>
      <w:sz w:val="28"/>
      <w:szCs w:val="28"/>
      <w:lang w:val="en-AU" w:eastAsia="en-US" w:bidi="ar-SA"/>
    </w:rPr>
  </w:style>
  <w:style w:type="paragraph" w:customStyle="1" w:styleId="SectionHeadingLevel1">
    <w:name w:val="Section Heading Level 1"/>
    <w:basedOn w:val="AbstractTitle"/>
    <w:next w:val="Normal"/>
    <w:link w:val="SectionHeadingLevel1Char"/>
    <w:qFormat/>
    <w:rsid w:val="000926E7"/>
    <w:pPr>
      <w:spacing w:before="200"/>
      <w:jc w:val="left"/>
    </w:pPr>
  </w:style>
  <w:style w:type="character" w:customStyle="1" w:styleId="NormalChar">
    <w:name w:val="Normal Char"/>
    <w:rsid w:val="00557C6C"/>
    <w:rPr>
      <w:rFonts w:ascii="Arial" w:eastAsia="Calibri" w:hAnsi="Arial" w:cs="Arial"/>
      <w:b/>
      <w:sz w:val="22"/>
      <w:szCs w:val="28"/>
      <w:lang w:val="en-AU" w:eastAsia="en-AU" w:bidi="ar-SA"/>
    </w:rPr>
  </w:style>
  <w:style w:type="character" w:customStyle="1" w:styleId="SectionHeadingLevel1Char">
    <w:name w:val="Section Heading Level 1 Char"/>
    <w:link w:val="SectionHeadingLevel1"/>
    <w:rsid w:val="000926E7"/>
    <w:rPr>
      <w:rFonts w:ascii="Arial" w:eastAsia="Calibri" w:hAnsi="Arial" w:cs="Arial"/>
      <w:b/>
      <w:sz w:val="28"/>
      <w:szCs w:val="28"/>
      <w:lang w:val="en-AU" w:eastAsia="en-US" w:bidi="ar-SA"/>
    </w:rPr>
  </w:style>
  <w:style w:type="paragraph" w:customStyle="1" w:styleId="Paperbody">
    <w:name w:val="Paper body"/>
    <w:basedOn w:val="AbstractTitle"/>
    <w:link w:val="PaperbodyChar"/>
    <w:rsid w:val="00850DB0"/>
    <w:pPr>
      <w:jc w:val="both"/>
    </w:pPr>
    <w:rPr>
      <w:b w:val="0"/>
      <w:sz w:val="22"/>
      <w:szCs w:val="22"/>
    </w:rPr>
  </w:style>
  <w:style w:type="character" w:customStyle="1" w:styleId="PaperbodyChar">
    <w:name w:val="Paper body Char"/>
    <w:link w:val="Paperbody"/>
    <w:rsid w:val="00850DB0"/>
    <w:rPr>
      <w:rFonts w:ascii="Arial" w:eastAsia="Calibri" w:hAnsi="Arial" w:cs="Arial"/>
      <w:b/>
      <w:sz w:val="22"/>
      <w:szCs w:val="28"/>
      <w:lang w:val="en-AU" w:eastAsia="en-US" w:bidi="ar-SA"/>
    </w:rPr>
  </w:style>
  <w:style w:type="paragraph" w:customStyle="1" w:styleId="SectionHeadingLevel2">
    <w:name w:val="Section Heading Level 2"/>
    <w:basedOn w:val="Paperbody"/>
    <w:next w:val="Normal"/>
    <w:link w:val="SectionHeadingLevel2Char"/>
    <w:qFormat/>
    <w:rsid w:val="000926E7"/>
    <w:pPr>
      <w:spacing w:before="200"/>
      <w:ind w:left="720" w:hanging="720"/>
      <w:jc w:val="left"/>
    </w:pPr>
    <w:rPr>
      <w:b/>
      <w:sz w:val="24"/>
      <w:szCs w:val="24"/>
    </w:rPr>
  </w:style>
  <w:style w:type="character" w:customStyle="1" w:styleId="SectionHeadingLevel2Char">
    <w:name w:val="Section Heading Level 2 Char"/>
    <w:link w:val="SectionHeadingLevel2"/>
    <w:rsid w:val="000926E7"/>
    <w:rPr>
      <w:rFonts w:ascii="Arial" w:eastAsia="Calibri" w:hAnsi="Arial" w:cs="Arial"/>
      <w:b/>
      <w:sz w:val="24"/>
      <w:szCs w:val="24"/>
      <w:lang w:val="en-AU" w:eastAsia="en-US" w:bidi="ar-SA"/>
    </w:rPr>
  </w:style>
  <w:style w:type="paragraph" w:customStyle="1" w:styleId="SectionHeadingLevel3">
    <w:name w:val="Section Heading Level 3"/>
    <w:basedOn w:val="Paperbody"/>
    <w:next w:val="Normal"/>
    <w:link w:val="SectionHeadingLevel3Char"/>
    <w:qFormat/>
    <w:rsid w:val="005F6B9B"/>
    <w:pPr>
      <w:jc w:val="left"/>
    </w:pPr>
    <w:rPr>
      <w:b/>
      <w:i/>
    </w:rPr>
  </w:style>
  <w:style w:type="character" w:customStyle="1" w:styleId="SectionHeadingLevel3Char">
    <w:name w:val="Section Heading Level 3 Char"/>
    <w:link w:val="SectionHeadingLevel3"/>
    <w:rsid w:val="005F6B9B"/>
    <w:rPr>
      <w:rFonts w:ascii="Arial" w:eastAsia="Calibri" w:hAnsi="Arial" w:cs="Arial"/>
      <w:b/>
      <w:i/>
      <w:sz w:val="22"/>
      <w:szCs w:val="22"/>
      <w:lang w:val="en-AU" w:eastAsia="en-US" w:bidi="ar-SA"/>
    </w:rPr>
  </w:style>
  <w:style w:type="paragraph" w:customStyle="1" w:styleId="ColorfulList-Accent11">
    <w:name w:val="Colorful List - Accent 11"/>
    <w:basedOn w:val="Normal"/>
    <w:uiPriority w:val="34"/>
    <w:rsid w:val="00B4239F"/>
    <w:pPr>
      <w:ind w:left="720"/>
      <w:contextualSpacing/>
    </w:pPr>
  </w:style>
  <w:style w:type="character" w:styleId="PlaceholderText">
    <w:name w:val="Placeholder Text"/>
    <w:uiPriority w:val="99"/>
    <w:semiHidden/>
    <w:rsid w:val="005F70C1"/>
    <w:rPr>
      <w:color w:val="808080"/>
    </w:rPr>
  </w:style>
  <w:style w:type="paragraph" w:customStyle="1" w:styleId="Captionstyle">
    <w:name w:val="Caption style"/>
    <w:basedOn w:val="Normal"/>
    <w:link w:val="CaptionstyleChar"/>
    <w:qFormat/>
    <w:rsid w:val="0065512D"/>
    <w:pPr>
      <w:jc w:val="left"/>
    </w:pPr>
    <w:rPr>
      <w:b/>
      <w:sz w:val="20"/>
    </w:rPr>
  </w:style>
  <w:style w:type="character" w:customStyle="1" w:styleId="CaptionstyleChar">
    <w:name w:val="Caption style Char"/>
    <w:basedOn w:val="NormalChar"/>
    <w:link w:val="Captionstyle"/>
    <w:rsid w:val="0065512D"/>
    <w:rPr>
      <w:rFonts w:ascii="Arial" w:eastAsia="Calibri" w:hAnsi="Arial" w:cs="Arial"/>
      <w:b/>
      <w:sz w:val="22"/>
      <w:szCs w:val="28"/>
      <w:lang w:val="en-AU" w:eastAsia="en-AU" w:bidi="ar-SA"/>
    </w:rPr>
  </w:style>
  <w:style w:type="paragraph" w:styleId="FootnoteText">
    <w:name w:val="footnote text"/>
    <w:aliases w:val="FOOTNOTES,fn,single space,footnote text,ft,FN,Geneva 9,Font: Geneva 9,Boston 10,f,Footnote Text Char Char Char Char Char,Footnote Text Char Char Char Char Char Char,(NECG) Footnote Text Char Char Char,~FootnoteText,(NECG) Footnote Text,ft1"/>
    <w:basedOn w:val="Normal"/>
    <w:link w:val="FootnoteTextChar"/>
    <w:uiPriority w:val="99"/>
    <w:unhideWhenUsed/>
    <w:qFormat/>
    <w:rsid w:val="00AA27DA"/>
    <w:pPr>
      <w:spacing w:after="0"/>
      <w:ind w:left="284" w:hanging="284"/>
      <w:jc w:val="left"/>
    </w:pPr>
    <w:rPr>
      <w:sz w:val="20"/>
    </w:rPr>
  </w:style>
  <w:style w:type="character" w:customStyle="1" w:styleId="FootnoteTextChar">
    <w:name w:val="Footnote Text Char"/>
    <w:aliases w:val="FOOTNOTES Char,fn Char,single space Char,footnote text Char,ft Char,FN Char,Geneva 9 Char,Font: Geneva 9 Char,Boston 10 Char,f Char,Footnote Text Char Char Char Char Char Char1,Footnote Text Char Char Char Char Char Char Char,ft1 Char"/>
    <w:link w:val="FootnoteText"/>
    <w:uiPriority w:val="99"/>
    <w:rsid w:val="00AA27DA"/>
    <w:rPr>
      <w:rFonts w:ascii="Arial" w:hAnsi="Arial"/>
    </w:rPr>
  </w:style>
  <w:style w:type="character" w:styleId="FootnoteReference">
    <w:name w:val="footnote reference"/>
    <w:uiPriority w:val="99"/>
    <w:unhideWhenUsed/>
    <w:rsid w:val="0045207F"/>
    <w:rPr>
      <w:vertAlign w:val="superscript"/>
    </w:rPr>
  </w:style>
  <w:style w:type="table" w:styleId="TableGrid">
    <w:name w:val="Table Grid"/>
    <w:basedOn w:val="TableNormal"/>
    <w:uiPriority w:val="59"/>
    <w:rsid w:val="000433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
    <w:name w:val="Light Shading"/>
    <w:basedOn w:val="TableNormal"/>
    <w:uiPriority w:val="60"/>
    <w:rsid w:val="0004335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04335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Grid3-Accent2">
    <w:name w:val="Medium Grid 3 Accent 2"/>
    <w:basedOn w:val="TableNormal"/>
    <w:uiPriority w:val="60"/>
    <w:rsid w:val="0004335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04335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04335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
    <w:name w:val="Light List"/>
    <w:basedOn w:val="TableNormal"/>
    <w:uiPriority w:val="61"/>
    <w:rsid w:val="0004335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04335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04335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04335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Headerstyle">
    <w:name w:val="Header style"/>
    <w:basedOn w:val="Header"/>
    <w:link w:val="HeaderstyleChar"/>
    <w:qFormat/>
    <w:rsid w:val="00F5019A"/>
    <w:rPr>
      <w:sz w:val="20"/>
    </w:rPr>
  </w:style>
  <w:style w:type="character" w:customStyle="1" w:styleId="HeaderstyleChar">
    <w:name w:val="Header style Char"/>
    <w:link w:val="Headerstyle"/>
    <w:rsid w:val="00F5019A"/>
    <w:rPr>
      <w:rFonts w:ascii="Arial" w:hAnsi="Arial" w:cs="Arial"/>
      <w:lang w:eastAsia="en-US"/>
    </w:rPr>
  </w:style>
  <w:style w:type="character" w:styleId="FollowedHyperlink">
    <w:name w:val="FollowedHyperlink"/>
    <w:uiPriority w:val="99"/>
    <w:semiHidden/>
    <w:unhideWhenUsed/>
    <w:rsid w:val="00A427FE"/>
    <w:rPr>
      <w:color w:val="800080"/>
      <w:u w:val="single"/>
    </w:rPr>
  </w:style>
  <w:style w:type="paragraph" w:styleId="Caption">
    <w:name w:val="caption"/>
    <w:basedOn w:val="Normal"/>
    <w:next w:val="BodyText"/>
    <w:qFormat/>
    <w:rsid w:val="002168CA"/>
    <w:pPr>
      <w:keepNext/>
      <w:widowControl w:val="0"/>
      <w:tabs>
        <w:tab w:val="left" w:pos="1276"/>
        <w:tab w:val="right" w:pos="8647"/>
      </w:tabs>
      <w:autoSpaceDE w:val="0"/>
      <w:autoSpaceDN w:val="0"/>
      <w:adjustRightInd w:val="0"/>
      <w:spacing w:before="240" w:after="120"/>
      <w:ind w:left="1276" w:hanging="1276"/>
    </w:pPr>
    <w:rPr>
      <w:rFonts w:ascii="Times New Roman" w:eastAsia="Batang" w:hAnsi="Times New Roman"/>
      <w:bCs/>
      <w:szCs w:val="24"/>
    </w:rPr>
  </w:style>
  <w:style w:type="paragraph" w:styleId="BodyText">
    <w:name w:val="Body Text"/>
    <w:basedOn w:val="Normal"/>
    <w:link w:val="BodyTextChar"/>
    <w:uiPriority w:val="99"/>
    <w:semiHidden/>
    <w:unhideWhenUsed/>
    <w:rsid w:val="002168CA"/>
    <w:pPr>
      <w:spacing w:after="120"/>
    </w:pPr>
  </w:style>
  <w:style w:type="character" w:customStyle="1" w:styleId="BodyTextChar">
    <w:name w:val="Body Text Char"/>
    <w:basedOn w:val="DefaultParagraphFont"/>
    <w:link w:val="BodyText"/>
    <w:uiPriority w:val="99"/>
    <w:semiHidden/>
    <w:rsid w:val="002168CA"/>
    <w:rPr>
      <w:rFonts w:ascii="Arial" w:hAnsi="Arial" w:cs="Arial"/>
      <w:sz w:val="24"/>
      <w:szCs w:val="22"/>
      <w:lang w:eastAsia="en-US"/>
    </w:rPr>
  </w:style>
  <w:style w:type="paragraph" w:customStyle="1" w:styleId="Normaltable">
    <w:name w:val="Normal (table)"/>
    <w:basedOn w:val="Normal"/>
    <w:link w:val="NormaltableChar1"/>
    <w:qFormat/>
    <w:rsid w:val="00757763"/>
    <w:pPr>
      <w:spacing w:after="0"/>
      <w:jc w:val="left"/>
    </w:pPr>
    <w:rPr>
      <w:rFonts w:eastAsia="Batang"/>
      <w:sz w:val="20"/>
      <w:szCs w:val="17"/>
      <w:lang w:eastAsia="ko-KR"/>
    </w:rPr>
  </w:style>
  <w:style w:type="paragraph" w:customStyle="1" w:styleId="TableFootnotemultiple">
    <w:name w:val="Table Footnote (multiple)"/>
    <w:basedOn w:val="Normal"/>
    <w:rsid w:val="002B670E"/>
    <w:pPr>
      <w:tabs>
        <w:tab w:val="left" w:pos="284"/>
      </w:tabs>
      <w:spacing w:after="0"/>
    </w:pPr>
    <w:rPr>
      <w:rFonts w:ascii="Garamond" w:eastAsia="Batang" w:hAnsi="Garamond"/>
      <w:sz w:val="20"/>
      <w:lang w:eastAsia="ko-KR"/>
    </w:rPr>
  </w:style>
  <w:style w:type="character" w:customStyle="1" w:styleId="NormaltableChar1">
    <w:name w:val="Normal (table) Char1"/>
    <w:basedOn w:val="DefaultParagraphFont"/>
    <w:link w:val="Normaltable"/>
    <w:rsid w:val="00757763"/>
    <w:rPr>
      <w:rFonts w:ascii="Arial" w:eastAsia="Batang" w:hAnsi="Arial"/>
      <w:szCs w:val="17"/>
      <w:lang w:eastAsia="ko-KR"/>
    </w:rPr>
  </w:style>
  <w:style w:type="paragraph" w:customStyle="1" w:styleId="TableFootnotesingle">
    <w:name w:val="Table Footnote (single)"/>
    <w:basedOn w:val="Normaltable"/>
    <w:next w:val="Normal"/>
    <w:qFormat/>
    <w:rsid w:val="0024776E"/>
    <w:pPr>
      <w:tabs>
        <w:tab w:val="left" w:pos="284"/>
      </w:tabs>
      <w:spacing w:before="20"/>
      <w:ind w:left="284" w:hanging="284"/>
    </w:pPr>
    <w:rPr>
      <w:sz w:val="18"/>
      <w:szCs w:val="20"/>
    </w:rPr>
  </w:style>
  <w:style w:type="paragraph" w:styleId="ListBullet">
    <w:name w:val="List Bullet"/>
    <w:basedOn w:val="Normal"/>
    <w:unhideWhenUsed/>
    <w:qFormat/>
    <w:rsid w:val="0024776E"/>
    <w:pPr>
      <w:numPr>
        <w:numId w:val="31"/>
      </w:numPr>
    </w:pPr>
    <w:rPr>
      <w:rFonts w:eastAsia="Times New Roman" w:cs="Arial"/>
      <w:szCs w:val="22"/>
      <w:lang w:eastAsia="en-US"/>
    </w:rPr>
  </w:style>
  <w:style w:type="paragraph" w:styleId="ListBullet2">
    <w:name w:val="List Bullet 2"/>
    <w:basedOn w:val="ListBullet"/>
    <w:unhideWhenUsed/>
    <w:qFormat/>
    <w:rsid w:val="0024776E"/>
    <w:pPr>
      <w:numPr>
        <w:numId w:val="30"/>
      </w:numPr>
      <w:tabs>
        <w:tab w:val="left" w:pos="851"/>
      </w:tabs>
      <w:ind w:left="851" w:hanging="284"/>
    </w:pPr>
  </w:style>
  <w:style w:type="paragraph" w:styleId="ListParagraph">
    <w:name w:val="List Paragraph"/>
    <w:basedOn w:val="Normal"/>
    <w:uiPriority w:val="34"/>
    <w:qFormat/>
    <w:rsid w:val="00ED78C0"/>
    <w:pPr>
      <w:ind w:left="720"/>
      <w:contextualSpacing/>
    </w:pPr>
  </w:style>
  <w:style w:type="paragraph" w:customStyle="1" w:styleId="Normaltablebullet">
    <w:name w:val="Normal (table bullet)"/>
    <w:basedOn w:val="Normaltable"/>
    <w:qFormat/>
    <w:rsid w:val="000B1CF1"/>
    <w:pPr>
      <w:numPr>
        <w:numId w:val="33"/>
      </w:numPr>
      <w:tabs>
        <w:tab w:val="left" w:pos="170"/>
        <w:tab w:val="num" w:pos="720"/>
      </w:tabs>
      <w:ind w:left="170" w:hanging="170"/>
    </w:pPr>
    <w:rPr>
      <w:rFonts w:ascii="Garamond" w:hAnsi="Garamond"/>
      <w:sz w:val="22"/>
    </w:rPr>
  </w:style>
  <w:style w:type="paragraph" w:customStyle="1" w:styleId="Default">
    <w:name w:val="Default"/>
    <w:rsid w:val="00A65928"/>
    <w:pPr>
      <w:autoSpaceDE w:val="0"/>
      <w:autoSpaceDN w:val="0"/>
      <w:adjustRightInd w:val="0"/>
    </w:pPr>
    <w:rPr>
      <w:rFonts w:ascii="Garamond" w:hAnsi="Garamond" w:cs="Garamond"/>
      <w:color w:val="000000"/>
      <w:sz w:val="24"/>
      <w:szCs w:val="24"/>
    </w:rPr>
  </w:style>
  <w:style w:type="paragraph" w:customStyle="1" w:styleId="CaptionTable">
    <w:name w:val="Caption (Table)"/>
    <w:basedOn w:val="Normal"/>
    <w:next w:val="Normal"/>
    <w:qFormat/>
    <w:rsid w:val="006F5D61"/>
    <w:pPr>
      <w:keepNext/>
      <w:tabs>
        <w:tab w:val="left" w:pos="1134"/>
      </w:tabs>
      <w:spacing w:before="240" w:after="120"/>
      <w:jc w:val="center"/>
    </w:pPr>
    <w:rPr>
      <w:rFonts w:ascii="Tahoma" w:eastAsia="Batang" w:hAnsi="Tahoma"/>
      <w:bCs/>
      <w:lang w:val="en-US" w:eastAsia="ko-KR"/>
    </w:rPr>
  </w:style>
  <w:style w:type="character" w:styleId="CommentReference">
    <w:name w:val="annotation reference"/>
    <w:basedOn w:val="DefaultParagraphFont"/>
    <w:uiPriority w:val="99"/>
    <w:semiHidden/>
    <w:unhideWhenUsed/>
    <w:rsid w:val="004A663F"/>
    <w:rPr>
      <w:sz w:val="16"/>
      <w:szCs w:val="16"/>
    </w:rPr>
  </w:style>
  <w:style w:type="paragraph" w:styleId="CommentText">
    <w:name w:val="annotation text"/>
    <w:basedOn w:val="Normal"/>
    <w:link w:val="CommentTextChar"/>
    <w:uiPriority w:val="99"/>
    <w:semiHidden/>
    <w:unhideWhenUsed/>
    <w:rsid w:val="004A663F"/>
    <w:rPr>
      <w:sz w:val="20"/>
    </w:rPr>
  </w:style>
  <w:style w:type="character" w:customStyle="1" w:styleId="CommentTextChar">
    <w:name w:val="Comment Text Char"/>
    <w:basedOn w:val="DefaultParagraphFont"/>
    <w:link w:val="CommentText"/>
    <w:uiPriority w:val="99"/>
    <w:semiHidden/>
    <w:rsid w:val="004A663F"/>
    <w:rPr>
      <w:rFonts w:ascii="Arial" w:hAnsi="Arial"/>
    </w:rPr>
  </w:style>
  <w:style w:type="paragraph" w:styleId="CommentSubject">
    <w:name w:val="annotation subject"/>
    <w:basedOn w:val="CommentText"/>
    <w:next w:val="CommentText"/>
    <w:link w:val="CommentSubjectChar"/>
    <w:uiPriority w:val="99"/>
    <w:semiHidden/>
    <w:unhideWhenUsed/>
    <w:rsid w:val="004A663F"/>
    <w:rPr>
      <w:b/>
      <w:bCs/>
    </w:rPr>
  </w:style>
  <w:style w:type="character" w:customStyle="1" w:styleId="CommentSubjectChar">
    <w:name w:val="Comment Subject Char"/>
    <w:basedOn w:val="CommentTextChar"/>
    <w:link w:val="CommentSubject"/>
    <w:uiPriority w:val="99"/>
    <w:semiHidden/>
    <w:rsid w:val="004A663F"/>
    <w:rPr>
      <w:rFonts w:ascii="Arial" w:hAnsi="Arial"/>
      <w:b/>
      <w:bCs/>
    </w:rPr>
  </w:style>
  <w:style w:type="paragraph" w:customStyle="1" w:styleId="CaptionFigure">
    <w:name w:val="Caption (Figure)"/>
    <w:basedOn w:val="Normal"/>
    <w:next w:val="Normal"/>
    <w:autoRedefine/>
    <w:uiPriority w:val="99"/>
    <w:qFormat/>
    <w:rsid w:val="00404F55"/>
    <w:pPr>
      <w:keepNext/>
      <w:keepLines/>
      <w:tabs>
        <w:tab w:val="left" w:pos="1134"/>
      </w:tabs>
      <w:suppressAutoHyphens/>
      <w:spacing w:after="0"/>
      <w:jc w:val="center"/>
    </w:pPr>
    <w:rPr>
      <w:rFonts w:ascii="Euphemia" w:eastAsia="Batang" w:hAnsi="Euphemia" w:cs="Arial"/>
      <w:b/>
      <w:bCs/>
      <w:color w:val="000000" w:themeColor="text1"/>
      <w:spacing w:val="-6"/>
      <w:sz w:val="20"/>
      <w:szCs w:val="22"/>
      <w:lang w:eastAsia="ar-SA"/>
    </w:rPr>
  </w:style>
  <w:style w:type="paragraph" w:styleId="ListNumber">
    <w:name w:val="List Number"/>
    <w:basedOn w:val="Normal"/>
    <w:uiPriority w:val="99"/>
    <w:unhideWhenUsed/>
    <w:rsid w:val="003C2900"/>
    <w:pPr>
      <w:spacing w:before="120" w:after="120"/>
      <w:ind w:left="397" w:hanging="397"/>
    </w:pPr>
    <w:rPr>
      <w:rFonts w:ascii="Times New Roman" w:eastAsia="Times New Roman" w:hAnsi="Times New Roman"/>
      <w:b/>
      <w:sz w:val="20"/>
      <w:szCs w:val="22"/>
      <w:lang w:eastAsia="ko-KR"/>
    </w:rPr>
  </w:style>
  <w:style w:type="paragraph" w:styleId="Revision">
    <w:name w:val="Revision"/>
    <w:hidden/>
    <w:uiPriority w:val="99"/>
    <w:semiHidden/>
    <w:rsid w:val="00B460C0"/>
    <w:rPr>
      <w:rFonts w:ascii="Arial" w:hAnsi="Arial"/>
      <w:sz w:val="22"/>
    </w:rPr>
  </w:style>
  <w:style w:type="table" w:customStyle="1" w:styleId="TableGrid1">
    <w:name w:val="Table Grid1"/>
    <w:basedOn w:val="TableNormal"/>
    <w:next w:val="TableGrid"/>
    <w:uiPriority w:val="59"/>
    <w:rsid w:val="00D65E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unhideWhenUsed/>
    <w:qFormat/>
    <w:rsid w:val="00B8010A"/>
    <w:pPr>
      <w:spacing w:before="120" w:after="120"/>
      <w:ind w:left="568" w:right="57" w:hanging="284"/>
      <w:jc w:val="both"/>
    </w:pPr>
    <w:rPr>
      <w:rFonts w:ascii="Garamond" w:eastAsia="Times New Roman" w:hAnsi="Garamon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5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di.worldbank.org/table/1.1" TargetMode="External"/><Relationship Id="rId13" Type="http://schemas.openxmlformats.org/officeDocument/2006/relationships/image" Target="media/image5.wmf"/><Relationship Id="rId18"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0.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0.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AC5F1-92CC-4272-B45B-66A6EFF2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E538A211.dotm</Template>
  <TotalTime>136</TotalTime>
  <Pages>15</Pages>
  <Words>7186</Words>
  <Characters>40965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Infrastructure</Company>
  <LinksUpToDate>false</LinksUpToDate>
  <CharactersWithSpaces>48055</CharactersWithSpaces>
  <SharedDoc>false</SharedDoc>
  <HLinks>
    <vt:vector size="30" baseType="variant">
      <vt:variant>
        <vt:i4>2818086</vt:i4>
      </vt:variant>
      <vt:variant>
        <vt:i4>9</vt:i4>
      </vt:variant>
      <vt:variant>
        <vt:i4>0</vt:i4>
      </vt:variant>
      <vt:variant>
        <vt:i4>5</vt:i4>
      </vt:variant>
      <vt:variant>
        <vt:lpwstr>http://atrf11.unisa.edu.au/</vt:lpwstr>
      </vt:variant>
      <vt:variant>
        <vt:lpwstr/>
      </vt:variant>
      <vt:variant>
        <vt:i4>786533</vt:i4>
      </vt:variant>
      <vt:variant>
        <vt:i4>6</vt:i4>
      </vt:variant>
      <vt:variant>
        <vt:i4>0</vt:i4>
      </vt:variant>
      <vt:variant>
        <vt:i4>5</vt:i4>
      </vt:variant>
      <vt:variant>
        <vt:lpwstr>mailto:atrf11@unisa.edu.au</vt:lpwstr>
      </vt:variant>
      <vt:variant>
        <vt:lpwstr/>
      </vt:variant>
      <vt:variant>
        <vt:i4>2818086</vt:i4>
      </vt:variant>
      <vt:variant>
        <vt:i4>3</vt:i4>
      </vt:variant>
      <vt:variant>
        <vt:i4>0</vt:i4>
      </vt:variant>
      <vt:variant>
        <vt:i4>5</vt:i4>
      </vt:variant>
      <vt:variant>
        <vt:lpwstr>http://atrf11.unisa.edu.au/</vt:lpwstr>
      </vt:variant>
      <vt:variant>
        <vt:lpwstr/>
      </vt:variant>
      <vt:variant>
        <vt:i4>786533</vt:i4>
      </vt:variant>
      <vt:variant>
        <vt:i4>0</vt:i4>
      </vt:variant>
      <vt:variant>
        <vt:i4>0</vt:i4>
      </vt:variant>
      <vt:variant>
        <vt:i4>5</vt:i4>
      </vt:variant>
      <vt:variant>
        <vt:lpwstr>mailto:atrf11@unisa.edu.au</vt:lpwstr>
      </vt:variant>
      <vt:variant>
        <vt:lpwstr/>
      </vt:variant>
      <vt:variant>
        <vt:i4>3801190</vt:i4>
      </vt:variant>
      <vt:variant>
        <vt:i4>6</vt:i4>
      </vt:variant>
      <vt:variant>
        <vt:i4>0</vt:i4>
      </vt:variant>
      <vt:variant>
        <vt:i4>5</vt:i4>
      </vt:variant>
      <vt:variant>
        <vt:lpwstr>http://www.patrec.org/atrf.aspx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Louis</dc:creator>
  <cp:lastModifiedBy>Nicholas Holyoak</cp:lastModifiedBy>
  <cp:revision>9</cp:revision>
  <cp:lastPrinted>2015-08-27T03:59:00Z</cp:lastPrinted>
  <dcterms:created xsi:type="dcterms:W3CDTF">2015-08-26T02:31:00Z</dcterms:created>
  <dcterms:modified xsi:type="dcterms:W3CDTF">2015-08-27T04:00:00Z</dcterms:modified>
</cp:coreProperties>
</file>