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628EE" w14:textId="77777777" w:rsidR="00B8264E" w:rsidRDefault="00B8264E" w:rsidP="00770C42">
      <w:pPr>
        <w:spacing w:after="140" w:line="240" w:lineRule="auto"/>
        <w:jc w:val="center"/>
        <w:rPr>
          <w:rFonts w:eastAsia="Calibri" w:cs="Times New Roman"/>
          <w:b/>
          <w:sz w:val="32"/>
          <w:szCs w:val="32"/>
          <w:lang w:eastAsia="en-AU"/>
        </w:rPr>
      </w:pPr>
      <w:r w:rsidRPr="00770C42">
        <w:rPr>
          <w:rFonts w:eastAsia="Calibri" w:cs="Times New Roman"/>
          <w:b/>
          <w:sz w:val="32"/>
          <w:szCs w:val="32"/>
          <w:lang w:eastAsia="en-AU"/>
        </w:rPr>
        <w:t xml:space="preserve">Are network planning guidelines based on </w:t>
      </w:r>
      <w:r w:rsidR="00AA52CB" w:rsidRPr="00770C42">
        <w:rPr>
          <w:rFonts w:eastAsia="Calibri" w:cs="Times New Roman"/>
          <w:b/>
          <w:sz w:val="32"/>
          <w:szCs w:val="32"/>
          <w:lang w:eastAsia="en-AU"/>
        </w:rPr>
        <w:t>equal access equitable?</w:t>
      </w:r>
    </w:p>
    <w:p w14:paraId="69F628EF" w14:textId="77777777" w:rsidR="00770C42" w:rsidRPr="00181C01" w:rsidRDefault="00770C42" w:rsidP="00F04F2A">
      <w:pPr>
        <w:pStyle w:val="AuthorName"/>
      </w:pPr>
      <w:r>
        <w:t>Corinne Mulley</w:t>
      </w:r>
      <w:r>
        <w:rPr>
          <w:vertAlign w:val="superscript"/>
        </w:rPr>
        <w:t>1</w:t>
      </w:r>
      <w:r>
        <w:t>, Liang Ma</w:t>
      </w:r>
      <w:r>
        <w:rPr>
          <w:vertAlign w:val="superscript"/>
        </w:rPr>
        <w:t>1</w:t>
      </w:r>
      <w:r>
        <w:t xml:space="preserve">, Geoffrey </w:t>
      </w:r>
      <w:r w:rsidR="00F04F2A">
        <w:t xml:space="preserve">Tilden </w:t>
      </w:r>
      <w:r>
        <w:t>Clifton</w:t>
      </w:r>
      <w:r>
        <w:rPr>
          <w:vertAlign w:val="superscript"/>
        </w:rPr>
        <w:t>1</w:t>
      </w:r>
      <w:r w:rsidR="001B0DED">
        <w:t xml:space="preserve"> and Michael Tanner</w:t>
      </w:r>
      <w:r w:rsidR="001B0DED">
        <w:rPr>
          <w:vertAlign w:val="superscript"/>
        </w:rPr>
        <w:t>2</w:t>
      </w:r>
    </w:p>
    <w:p w14:paraId="69F628F0" w14:textId="77777777" w:rsidR="00770C42" w:rsidRDefault="00770C42" w:rsidP="00770C42">
      <w:pPr>
        <w:pStyle w:val="AuthorAddress"/>
      </w:pPr>
      <w:r>
        <w:rPr>
          <w:vertAlign w:val="superscript"/>
        </w:rPr>
        <w:t>1</w:t>
      </w:r>
      <w:r>
        <w:t xml:space="preserve">ITLS, University of Sydney </w:t>
      </w:r>
    </w:p>
    <w:p w14:paraId="69F628F1" w14:textId="77777777" w:rsidR="001B0DED" w:rsidRPr="001B0DED" w:rsidRDefault="001B0DED" w:rsidP="00770C42">
      <w:pPr>
        <w:pStyle w:val="AuthorAddress"/>
      </w:pPr>
      <w:r>
        <w:rPr>
          <w:vertAlign w:val="superscript"/>
        </w:rPr>
        <w:t xml:space="preserve">2 </w:t>
      </w:r>
      <w:r>
        <w:t xml:space="preserve">Transport for </w:t>
      </w:r>
      <w:r w:rsidR="002617CC">
        <w:t>New South Wales</w:t>
      </w:r>
    </w:p>
    <w:p w14:paraId="69F628F2" w14:textId="77777777" w:rsidR="00770C42" w:rsidRDefault="00770C42" w:rsidP="00770C42">
      <w:pPr>
        <w:pStyle w:val="AuthorAddress"/>
      </w:pPr>
      <w:r>
        <w:t>Email for correspondence</w:t>
      </w:r>
      <w:r w:rsidRPr="005374AC">
        <w:t>:</w:t>
      </w:r>
      <w:r>
        <w:t xml:space="preserve"> corinne.mulley@sydney.edu.au</w:t>
      </w:r>
    </w:p>
    <w:p w14:paraId="69F628F3" w14:textId="77777777" w:rsidR="00770C42" w:rsidRPr="005F6B9B" w:rsidRDefault="00770C42" w:rsidP="00770C42">
      <w:pPr>
        <w:pStyle w:val="AbstractTitle"/>
      </w:pPr>
      <w:r w:rsidRPr="005F6B9B">
        <w:t>Abstract</w:t>
      </w:r>
    </w:p>
    <w:p w14:paraId="69F628F4" w14:textId="77777777" w:rsidR="00B8264E" w:rsidRDefault="00B8264E" w:rsidP="00B8264E">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p>
    <w:p w14:paraId="69F628F5" w14:textId="77777777" w:rsidR="00B8264E" w:rsidRDefault="00B8264E" w:rsidP="007A7C67">
      <w:r>
        <w:t xml:space="preserve">The principles of </w:t>
      </w:r>
      <w:r w:rsidR="009C61F3">
        <w:t xml:space="preserve">public transport </w:t>
      </w:r>
      <w:r>
        <w:t xml:space="preserve">network planning include simplicity, legibility, frequency and spatial coverage. These principles are normally translated into a series of “Guidelines” </w:t>
      </w:r>
      <w:r w:rsidR="009C61F3">
        <w:t xml:space="preserve">setting out the specific standards for network design within </w:t>
      </w:r>
      <w:r>
        <w:t>a jurisdiction. In practice network planning principles guidelines usually concentrate on creating a bus network or on the role of buses within a multimodal network as rail-based routes are regarded as fixed in location</w:t>
      </w:r>
      <w:r w:rsidR="009C61F3">
        <w:t xml:space="preserve"> and separate planning processes are typically used to design rail frequencies and stopping patterns</w:t>
      </w:r>
      <w:r w:rsidR="00295FFD">
        <w:t>.</w:t>
      </w:r>
    </w:p>
    <w:p w14:paraId="69F628F6" w14:textId="7594EBF0" w:rsidR="00B8264E" w:rsidRDefault="00B8264E" w:rsidP="007A7C67">
      <w:r>
        <w:t xml:space="preserve">The outcome of the network planning gives rise to </w:t>
      </w:r>
      <w:r w:rsidR="00F04F2A">
        <w:t>trade-offs</w:t>
      </w:r>
      <w:r>
        <w:t xml:space="preserve"> between the economic and institutional environments and is conditioned by historical legacy. Bus routes often continue because historically this is </w:t>
      </w:r>
      <w:r w:rsidR="00522DC9">
        <w:t>the route that was traversed or because a bus replaced a previous tram route</w:t>
      </w:r>
      <w:r>
        <w:t xml:space="preserve">. This paper offers a case study based on Sydney, Australia where the network planning guidelines for Metropolitan Sydney </w:t>
      </w:r>
      <w:r w:rsidR="000F51B5">
        <w:t>still place emphasis on equality of spatial coverage despite moving towards a more ‘integrated’ approach to network planning.</w:t>
      </w:r>
      <w:r>
        <w:t xml:space="preserve"> This paper identifies that guidelines focusing on equal spatial coverage may inadvertently promote inequity through not taking account of the difficulties (and therefore higher cost) of serving challenging topographical areas.</w:t>
      </w:r>
    </w:p>
    <w:p w14:paraId="69F628F7" w14:textId="77777777" w:rsidR="00B8264E" w:rsidRDefault="00B8264E" w:rsidP="007A7C67">
      <w:r>
        <w:t xml:space="preserve">This paper therefore examines the equity impacts of the implementation of service planning guidelines based on equal spatial coverage using Sydney as a case study. Criteria relating to equity will be established which are then measured using bus supply data, </w:t>
      </w:r>
      <w:r w:rsidR="000F51B5">
        <w:t>journey to work</w:t>
      </w:r>
      <w:r>
        <w:t xml:space="preserve"> and socio-economic data. The conclusions of the paper are a contribution to network planning implementation with many cities both in Australia and elsewhere implementing similar guidelines to Sydney.</w:t>
      </w:r>
    </w:p>
    <w:p w14:paraId="69F628F8" w14:textId="77777777" w:rsidR="00B82544" w:rsidRPr="002365CD" w:rsidRDefault="001B0DED" w:rsidP="002365CD">
      <w:pPr>
        <w:pStyle w:val="Heading1"/>
      </w:pPr>
      <w:r w:rsidRPr="002365CD">
        <w:t>Introduction</w:t>
      </w:r>
    </w:p>
    <w:p w14:paraId="69F628F9" w14:textId="6D2C5497" w:rsidR="000F51B5" w:rsidRDefault="00C4113E" w:rsidP="00C4113E">
      <w:r>
        <w:t xml:space="preserve">Traditional network or service planning guidelines (SPGs) </w:t>
      </w:r>
      <w:r w:rsidR="006705A4">
        <w:t>emphasise</w:t>
      </w:r>
      <w:r>
        <w:t xml:space="preserve"> the importance of providing a minimum level of service across the network</w:t>
      </w:r>
      <w:r w:rsidR="00AE7997">
        <w:t>:</w:t>
      </w:r>
      <w:r>
        <w:t xml:space="preserve"> this is often expressed in terms of ensuring that a </w:t>
      </w:r>
      <w:r w:rsidR="006705A4">
        <w:t>particular</w:t>
      </w:r>
      <w:r>
        <w:t xml:space="preserve"> percentage of the population lives within a certain distance of a bus service offering a </w:t>
      </w:r>
      <w:r w:rsidR="000646AC">
        <w:t xml:space="preserve">minimum level of service. </w:t>
      </w:r>
      <w:r w:rsidR="000F51B5">
        <w:t>The contrasting approach, which has been labelled ‘integrated’ network planning in Sydney (Transport for New South Wales (2013</w:t>
      </w:r>
      <w:r w:rsidR="00A96F04">
        <w:t>, hereafter TFNSW 2013</w:t>
      </w:r>
      <w:r w:rsidR="000F51B5">
        <w:t>), places emphasis on providing service to areas of greatest need and greatest patronage potential.</w:t>
      </w:r>
    </w:p>
    <w:p w14:paraId="69F628FA" w14:textId="466338D7" w:rsidR="000F51B5" w:rsidRDefault="000F51B5" w:rsidP="00C4113E">
      <w:r>
        <w:t>By way of example, the guidelines for Sydney have evolved over the last 11 yea</w:t>
      </w:r>
      <w:r w:rsidR="00A96F04">
        <w:t xml:space="preserve">rs towards </w:t>
      </w:r>
      <w:r w:rsidR="00DF248E">
        <w:t>an</w:t>
      </w:r>
      <w:r w:rsidR="00A96F04">
        <w:t xml:space="preserve"> integrated model. B</w:t>
      </w:r>
      <w:r>
        <w:t xml:space="preserve">etween </w:t>
      </w:r>
      <w:r w:rsidR="00C4113E">
        <w:t>2006</w:t>
      </w:r>
      <w:r>
        <w:t xml:space="preserve"> and 2013</w:t>
      </w:r>
      <w:r w:rsidR="00C4113E">
        <w:t xml:space="preserve"> </w:t>
      </w:r>
      <w:r w:rsidR="006705A4">
        <w:t xml:space="preserve">the guideline </w:t>
      </w:r>
      <w:r>
        <w:t xml:space="preserve">was </w:t>
      </w:r>
      <w:r w:rsidR="00DF248E">
        <w:t>that ‘</w:t>
      </w:r>
      <w:r w:rsidR="006705A4">
        <w:t>90 percent</w:t>
      </w:r>
      <w:r w:rsidR="000646AC">
        <w:t xml:space="preserve"> of households should be within 400 metres (as the crow flies)’ of a public transport route during </w:t>
      </w:r>
      <w:r w:rsidR="000646AC">
        <w:lastRenderedPageBreak/>
        <w:t>the daytime (New South Wales Ministry of Transport 2006</w:t>
      </w:r>
      <w:r w:rsidR="00A96F04">
        <w:t xml:space="preserve">). The latest guidelines (TFNSW 2013) have, on the one hand, strengthened this so that service should now be provided such that 90 percent of households are within 400 metres of a public transport </w:t>
      </w:r>
      <w:r w:rsidR="00A96F04" w:rsidRPr="00FC7A98">
        <w:rPr>
          <w:i/>
        </w:rPr>
        <w:t>stop</w:t>
      </w:r>
      <w:r w:rsidR="00A96F04">
        <w:t xml:space="preserve"> during the day but, on the other hand, has placed less importance on achieving this goal</w:t>
      </w:r>
      <w:r w:rsidR="00AE7997">
        <w:t>.</w:t>
      </w:r>
    </w:p>
    <w:p w14:paraId="69F628FB" w14:textId="77777777" w:rsidR="0007621F" w:rsidRDefault="000646AC" w:rsidP="00C4113E">
      <w:r>
        <w:t xml:space="preserve">Given limited budgets, guidelines that emphasise geographical coverage must lead to networks that do not place as much emphasis on directing services to areas of most need (e.g. those people who lack access to a private car or those people who would most benefit from supporting access to jobs, education and services) or areas </w:t>
      </w:r>
      <w:r w:rsidR="002365CD">
        <w:t>where demand might be highest</w:t>
      </w:r>
      <w:r>
        <w:t xml:space="preserve"> (see Nielsen</w:t>
      </w:r>
      <w:r w:rsidR="006705A4">
        <w:t>, et al. 2005 and Walker 2008).</w:t>
      </w:r>
    </w:p>
    <w:p w14:paraId="69F628FC" w14:textId="77777777" w:rsidR="0007621F" w:rsidRDefault="00C4113E" w:rsidP="00C4113E">
      <w:r>
        <w:t xml:space="preserve">Modern SPGs appear to be introducing more flexibility than their predecessors </w:t>
      </w:r>
      <w:r w:rsidR="000646AC">
        <w:t xml:space="preserve">by placing less emphasis on the requirements for spreading service levels across the service area (e.g. the 2006 Sydney guidelines </w:t>
      </w:r>
      <w:r w:rsidR="006705A4">
        <w:t>lowered the requirement from 95 percent to 90 percent</w:t>
      </w:r>
      <w:r w:rsidR="000646AC">
        <w:t xml:space="preserve"> of households within 400 metres of a service) and more emphasis on providing services designed to attract </w:t>
      </w:r>
      <w:r w:rsidR="0007621F">
        <w:t>patronage from the private car. However, the question remains as to what impact these guidelines actually have on the provision of service across the network</w:t>
      </w:r>
      <w:r w:rsidR="002365CD">
        <w:t xml:space="preserve"> and whether or not they lead to an equitable distribution of resources</w:t>
      </w:r>
      <w:r w:rsidR="0007621F">
        <w:t>.</w:t>
      </w:r>
    </w:p>
    <w:p w14:paraId="69F628FD" w14:textId="1BA1E333" w:rsidR="00C4113E" w:rsidRPr="00C4113E" w:rsidRDefault="000646AC" w:rsidP="00C4113E">
      <w:pPr>
        <w:rPr>
          <w:lang w:val="en-US"/>
        </w:rPr>
      </w:pPr>
      <w:r>
        <w:t xml:space="preserve">Using the case study of Sydney, NSW, this paper </w:t>
      </w:r>
      <w:r w:rsidR="0007621F">
        <w:t xml:space="preserve">uses the PTAL methodology </w:t>
      </w:r>
      <w:r w:rsidR="008D4F85">
        <w:t xml:space="preserve">(Transport for London 2010 and 2015) </w:t>
      </w:r>
      <w:r w:rsidR="0007621F">
        <w:t>to assess</w:t>
      </w:r>
      <w:r>
        <w:t xml:space="preserve"> the extent to which the</w:t>
      </w:r>
      <w:r w:rsidR="002365CD">
        <w:t xml:space="preserve"> </w:t>
      </w:r>
      <w:r>
        <w:t xml:space="preserve">guidelines are creating a network that </w:t>
      </w:r>
      <w:r w:rsidR="0007621F">
        <w:t xml:space="preserve">simply spreads service levels across the urban area or provides higher services to either areas of greatest need or to areas of greatest demand. </w:t>
      </w:r>
      <w:r w:rsidR="00DE4D76">
        <w:t xml:space="preserve">Whilst it would always be good to have more budget available, this is not the premise of this paper.  The premise of the paper is that the existing budget used to support services maybe </w:t>
      </w:r>
      <w:r w:rsidR="00522DC9">
        <w:t>differently distributed over space if achieving equity is one of the aims of network planning.</w:t>
      </w:r>
      <w:r w:rsidR="00DE4D76">
        <w:t xml:space="preserve"> </w:t>
      </w:r>
      <w:r w:rsidR="0007621F">
        <w:t xml:space="preserve">The paper is structured as follows, Section 2 discusses the modern and traditional approaches to service planning guidelines and discusses how transport equity can be measured and assessed. Section 3 summarises the PTAL methodology for measuring the level of supply of public transport services, discusses how to measure the socio-demographic need for public transport and the patronage potential of an area. Section 3 also introduces the methodology </w:t>
      </w:r>
      <w:r w:rsidR="002365CD">
        <w:t>used in this paper</w:t>
      </w:r>
      <w:r w:rsidR="0007621F">
        <w:t xml:space="preserve"> to compare service levels against the measures of need and potential patronage for public transport. Section 4 looks at the results of the modelling exercise in terms of a number of maps of supply, need and patronage potential and in a number of regression models linking the three factors. Section 5 discusses what lessons can be learnt from the</w:t>
      </w:r>
      <w:r w:rsidR="00F50FBC">
        <w:t xml:space="preserve"> analysis of this paper and the implications for policy</w:t>
      </w:r>
      <w:r w:rsidR="0007621F">
        <w:t>.</w:t>
      </w:r>
    </w:p>
    <w:p w14:paraId="69F628FE" w14:textId="77777777" w:rsidR="001B0DED" w:rsidRPr="00125355" w:rsidRDefault="001B0DED" w:rsidP="002365CD">
      <w:pPr>
        <w:pStyle w:val="Heading1"/>
      </w:pPr>
      <w:r w:rsidRPr="00125355">
        <w:t>Literature Review</w:t>
      </w:r>
    </w:p>
    <w:p w14:paraId="69F628FF" w14:textId="77777777" w:rsidR="007C5213" w:rsidRDefault="002F00DC" w:rsidP="00181C01">
      <w:pPr>
        <w:pStyle w:val="Heading2"/>
        <w:spacing w:before="240"/>
      </w:pPr>
      <w:r>
        <w:t>2.1 Service Planning Guidelines</w:t>
      </w:r>
    </w:p>
    <w:p w14:paraId="69F62900" w14:textId="77777777" w:rsidR="00C4113E" w:rsidRDefault="00C4113E" w:rsidP="00C4113E">
      <w:r>
        <w:rPr>
          <w:rFonts w:cs="Arial"/>
        </w:rPr>
        <w:t xml:space="preserve">Network or service planning guidelines (SPGs) exist in most urban areas where governments have responsibilities for, at </w:t>
      </w:r>
      <w:r w:rsidR="00F50FBC">
        <w:rPr>
          <w:rFonts w:cs="Arial"/>
        </w:rPr>
        <w:t>a minimum</w:t>
      </w:r>
      <w:r>
        <w:rPr>
          <w:rFonts w:cs="Arial"/>
        </w:rPr>
        <w:t>, the subsidy of public transport services (Transport for London 2015;</w:t>
      </w:r>
      <w:r>
        <w:t xml:space="preserve"> Victorian Auditor-General 2014; Public Transport Victoria 2012; ACT Government 2012, Pratt and Evans 2004 and New York Metropolitan Transportation Authority 2015)</w:t>
      </w:r>
      <w:r>
        <w:rPr>
          <w:rFonts w:cs="Arial"/>
        </w:rPr>
        <w:t xml:space="preserve">. In New South Wales (NSW), the SPGs are provided in </w:t>
      </w:r>
      <w:r w:rsidR="00DF248E">
        <w:rPr>
          <w:rFonts w:cs="Arial"/>
        </w:rPr>
        <w:t>TfNSW 2013</w:t>
      </w:r>
      <w:r>
        <w:rPr>
          <w:rFonts w:cs="Arial"/>
        </w:rPr>
        <w:t xml:space="preserve"> which replaced the previous guidelines that were contained in </w:t>
      </w:r>
      <w:r w:rsidRPr="0035564F">
        <w:t>New South Wales Ministry of Transport 2006</w:t>
      </w:r>
      <w:r>
        <w:t>.</w:t>
      </w:r>
    </w:p>
    <w:p w14:paraId="69F62901" w14:textId="77777777" w:rsidR="007C5213" w:rsidRDefault="00E33AFF" w:rsidP="001E76A9">
      <w:pPr>
        <w:rPr>
          <w:rFonts w:cs="Arial"/>
        </w:rPr>
      </w:pPr>
      <w:r>
        <w:rPr>
          <w:rFonts w:cs="Arial"/>
        </w:rPr>
        <w:lastRenderedPageBreak/>
        <w:t xml:space="preserve">Under </w:t>
      </w:r>
      <w:r w:rsidR="00BF36A6">
        <w:rPr>
          <w:rFonts w:cs="Arial"/>
        </w:rPr>
        <w:t xml:space="preserve">the Strategic-Tactical-Operational (STO) framework (Van de Velde 1999 and Hensher and Macario 2002), </w:t>
      </w:r>
      <w:r w:rsidR="00DA0035">
        <w:rPr>
          <w:rFonts w:cs="Arial"/>
        </w:rPr>
        <w:t xml:space="preserve">Service planning guidelines (SPGs) are created at the tactical level to provide instructions to public transport </w:t>
      </w:r>
      <w:r w:rsidR="00BF36A6">
        <w:rPr>
          <w:rFonts w:cs="Arial"/>
        </w:rPr>
        <w:t xml:space="preserve">network and route planners </w:t>
      </w:r>
      <w:r w:rsidR="00DA0035">
        <w:rPr>
          <w:rFonts w:cs="Arial"/>
        </w:rPr>
        <w:t xml:space="preserve">on how to implement the overarching strategy of the </w:t>
      </w:r>
      <w:r w:rsidR="00BF36A6">
        <w:rPr>
          <w:rFonts w:cs="Arial"/>
        </w:rPr>
        <w:t xml:space="preserve">transport authority. Typically, this overall strategy will be to either match services to demand </w:t>
      </w:r>
      <w:r w:rsidR="002F474F">
        <w:rPr>
          <w:rFonts w:cs="Arial"/>
        </w:rPr>
        <w:t>(e.g. TfNSW 2013, p3) or to match services to needs (e.g. TfNSW</w:t>
      </w:r>
      <w:r>
        <w:rPr>
          <w:rFonts w:cs="Arial"/>
        </w:rPr>
        <w:t xml:space="preserve"> 2013</w:t>
      </w:r>
      <w:r w:rsidR="002F474F">
        <w:rPr>
          <w:rFonts w:cs="Arial"/>
        </w:rPr>
        <w:t>, p18) or some combination of the two. Th</w:t>
      </w:r>
      <w:r w:rsidR="00B01D0A">
        <w:rPr>
          <w:rFonts w:cs="Arial"/>
        </w:rPr>
        <w:t xml:space="preserve">e two types of networks are discussed in more detail in Nielsen, et al. (2005) and form the basis of the </w:t>
      </w:r>
      <w:r w:rsidR="002F474F">
        <w:rPr>
          <w:rFonts w:cs="Arial"/>
        </w:rPr>
        <w:t>patronage</w:t>
      </w:r>
      <w:r w:rsidR="00B01D0A">
        <w:rPr>
          <w:rFonts w:cs="Arial"/>
        </w:rPr>
        <w:t xml:space="preserve"> network vs. </w:t>
      </w:r>
      <w:r w:rsidR="002F474F">
        <w:rPr>
          <w:rFonts w:cs="Arial"/>
        </w:rPr>
        <w:t xml:space="preserve">coverage </w:t>
      </w:r>
      <w:r w:rsidR="00B01D0A">
        <w:rPr>
          <w:rFonts w:cs="Arial"/>
        </w:rPr>
        <w:t xml:space="preserve">network </w:t>
      </w:r>
      <w:r w:rsidR="002F474F">
        <w:rPr>
          <w:rFonts w:cs="Arial"/>
        </w:rPr>
        <w:t>distinction used by practitioners such as Walker (2008)</w:t>
      </w:r>
      <w:r w:rsidR="00B01D0A">
        <w:rPr>
          <w:rFonts w:cs="Arial"/>
        </w:rPr>
        <w:t xml:space="preserve">. </w:t>
      </w:r>
      <w:r w:rsidR="002F474F">
        <w:rPr>
          <w:rFonts w:cs="Arial"/>
        </w:rPr>
        <w:t>In all cases, guidelines will also target value for money in terms of not providing subsidised service above that required to meet the other goals (e.g. TfNSW p15).</w:t>
      </w:r>
    </w:p>
    <w:p w14:paraId="69F62902" w14:textId="77777777" w:rsidR="00DE3590" w:rsidRDefault="00111DC3" w:rsidP="001E76A9">
      <w:pPr>
        <w:rPr>
          <w:rFonts w:cs="Arial"/>
        </w:rPr>
      </w:pPr>
      <w:r>
        <w:rPr>
          <w:rFonts w:cs="Arial"/>
        </w:rPr>
        <w:t xml:space="preserve">No matter what objectives the SPGs aim to achieve, all must account for the drivers of patronage: Fares, availability of alternatives, service attributes of the public transport mode, service attributes of the alternatives. </w:t>
      </w:r>
      <w:r w:rsidR="00242560">
        <w:rPr>
          <w:rFonts w:cs="Arial"/>
        </w:rPr>
        <w:t xml:space="preserve">In the examples of SPGs cited above, fares policy </w:t>
      </w:r>
      <w:r w:rsidR="00F50FBC">
        <w:rPr>
          <w:rFonts w:cs="Arial"/>
        </w:rPr>
        <w:t xml:space="preserve">is </w:t>
      </w:r>
      <w:r w:rsidR="00242560">
        <w:rPr>
          <w:rFonts w:cs="Arial"/>
        </w:rPr>
        <w:t>outside the remit of the network planners</w:t>
      </w:r>
      <w:r w:rsidR="00F50FBC">
        <w:rPr>
          <w:rFonts w:cs="Arial"/>
        </w:rPr>
        <w:t xml:space="preserve"> who are then only concerned with service attributes.</w:t>
      </w:r>
      <w:r w:rsidR="006705A4">
        <w:rPr>
          <w:rFonts w:cs="Arial"/>
        </w:rPr>
        <w:t xml:space="preserve"> </w:t>
      </w:r>
      <w:r w:rsidR="00F50FBC">
        <w:rPr>
          <w:rFonts w:cs="Arial"/>
        </w:rPr>
        <w:t>The</w:t>
      </w:r>
      <w:r w:rsidR="00242560">
        <w:rPr>
          <w:rFonts w:cs="Arial"/>
        </w:rPr>
        <w:t xml:space="preserve"> service attributes of the public transport mode are all that are within the control of the planners</w:t>
      </w:r>
      <w:r w:rsidR="00F50FBC">
        <w:rPr>
          <w:rFonts w:cs="Arial"/>
        </w:rPr>
        <w:t xml:space="preserve"> have been grouped by</w:t>
      </w:r>
      <w:r w:rsidR="00242560">
        <w:rPr>
          <w:rFonts w:cs="Arial"/>
        </w:rPr>
        <w:t xml:space="preserve"> Daniels and Mulley (2012) </w:t>
      </w:r>
      <w:r w:rsidR="00F50FBC">
        <w:rPr>
          <w:rFonts w:cs="Arial"/>
        </w:rPr>
        <w:t>i</w:t>
      </w:r>
      <w:r w:rsidR="00242560">
        <w:rPr>
          <w:rFonts w:cs="Arial"/>
        </w:rPr>
        <w:t xml:space="preserve">nto four categories: Coverage, frequency (see Abrantes and Wardman 2011 for a discussion of the importance of this attribute), legibility (see Wardman 2001 and Paulley et al. 2006) and directness (see Jansson 2003 and Ljungber 2005). </w:t>
      </w:r>
    </w:p>
    <w:p w14:paraId="69F62903" w14:textId="77777777" w:rsidR="00111DC3" w:rsidRDefault="00F50FBC" w:rsidP="001E76A9">
      <w:pPr>
        <w:rPr>
          <w:rFonts w:cs="Arial"/>
        </w:rPr>
      </w:pPr>
      <w:r>
        <w:rPr>
          <w:rFonts w:cs="Arial"/>
        </w:rPr>
        <w:t>Fixed budgets forming a cap on s</w:t>
      </w:r>
      <w:r w:rsidR="00242560">
        <w:rPr>
          <w:rFonts w:cs="Arial"/>
        </w:rPr>
        <w:t>ubsidies require trade-offs between the four categories</w:t>
      </w:r>
      <w:r>
        <w:rPr>
          <w:rFonts w:cs="Arial"/>
        </w:rPr>
        <w:t xml:space="preserve"> of service attributes</w:t>
      </w:r>
      <w:r w:rsidR="00242560">
        <w:rPr>
          <w:rFonts w:cs="Arial"/>
        </w:rPr>
        <w:t xml:space="preserve"> in planning networks</w:t>
      </w:r>
      <w:r w:rsidR="00DE3590">
        <w:rPr>
          <w:rFonts w:cs="Arial"/>
        </w:rPr>
        <w:t>.</w:t>
      </w:r>
      <w:r w:rsidR="00242560">
        <w:rPr>
          <w:rFonts w:cs="Arial"/>
        </w:rPr>
        <w:t xml:space="preserve"> A network of frequent and direct routes create</w:t>
      </w:r>
      <w:r>
        <w:rPr>
          <w:rFonts w:cs="Arial"/>
        </w:rPr>
        <w:t xml:space="preserve">s </w:t>
      </w:r>
      <w:r w:rsidR="00242560">
        <w:rPr>
          <w:rFonts w:cs="Arial"/>
        </w:rPr>
        <w:t xml:space="preserve">legibility </w:t>
      </w:r>
      <w:r w:rsidR="00DE3590">
        <w:rPr>
          <w:rFonts w:cs="Arial"/>
        </w:rPr>
        <w:t xml:space="preserve">and supports patronage growth </w:t>
      </w:r>
      <w:r w:rsidR="00242560">
        <w:rPr>
          <w:rFonts w:cs="Arial"/>
        </w:rPr>
        <w:t xml:space="preserve">but at the expense of </w:t>
      </w:r>
      <w:r w:rsidR="00DE3590">
        <w:rPr>
          <w:rFonts w:cs="Arial"/>
        </w:rPr>
        <w:t xml:space="preserve">network </w:t>
      </w:r>
      <w:r w:rsidR="00242560">
        <w:rPr>
          <w:rFonts w:cs="Arial"/>
        </w:rPr>
        <w:t xml:space="preserve">coverage (see Nielsen, et al. 2005). </w:t>
      </w:r>
      <w:r w:rsidR="00DE3590">
        <w:rPr>
          <w:rFonts w:cs="Arial"/>
        </w:rPr>
        <w:t>As d</w:t>
      </w:r>
      <w:r w:rsidR="00242560">
        <w:rPr>
          <w:rFonts w:cs="Arial"/>
        </w:rPr>
        <w:t>irect</w:t>
      </w:r>
      <w:r w:rsidR="00DE3590">
        <w:rPr>
          <w:rFonts w:cs="Arial"/>
        </w:rPr>
        <w:t xml:space="preserve"> routes </w:t>
      </w:r>
      <w:r w:rsidR="00242560">
        <w:rPr>
          <w:rFonts w:cs="Arial"/>
        </w:rPr>
        <w:t xml:space="preserve">tend to </w:t>
      </w:r>
      <w:r w:rsidR="00DE3590">
        <w:rPr>
          <w:rFonts w:cs="Arial"/>
        </w:rPr>
        <w:t>require more walking</w:t>
      </w:r>
      <w:r>
        <w:rPr>
          <w:rFonts w:cs="Arial"/>
        </w:rPr>
        <w:t>,</w:t>
      </w:r>
      <w:r w:rsidR="00DE3590">
        <w:rPr>
          <w:rFonts w:cs="Arial"/>
        </w:rPr>
        <w:t xml:space="preserve"> a network plan with the </w:t>
      </w:r>
      <w:r>
        <w:rPr>
          <w:rFonts w:cs="Arial"/>
        </w:rPr>
        <w:t xml:space="preserve">objective </w:t>
      </w:r>
      <w:r w:rsidR="00DE3590">
        <w:rPr>
          <w:rFonts w:cs="Arial"/>
        </w:rPr>
        <w:t>of providing a safety net of service for those without access to a private car will tend to favour higher coverage at the expense of frequency and directness.</w:t>
      </w:r>
    </w:p>
    <w:p w14:paraId="69F62904" w14:textId="77777777" w:rsidR="002F00DC" w:rsidRPr="00B20A70" w:rsidRDefault="002F00DC" w:rsidP="001E76A9">
      <w:pPr>
        <w:pStyle w:val="Heading2"/>
      </w:pPr>
      <w:r>
        <w:t xml:space="preserve">2.2 Equity </w:t>
      </w:r>
    </w:p>
    <w:p w14:paraId="69F62905" w14:textId="5B284166" w:rsidR="002F00DC" w:rsidRDefault="002F00DC" w:rsidP="001E76A9">
      <w:r>
        <w:t>Equity as a concept has been more often associated with social justice and fairness and discussed from a philosophical perspective (Miller, 1976, as cited by Bannister 1983). In the transport sector, it is recognised that transport policy gives rise to winners and losers (Wells 2012</w:t>
      </w:r>
      <w:r w:rsidR="00997681">
        <w:t xml:space="preserve"> and</w:t>
      </w:r>
      <w:r>
        <w:t xml:space="preserve"> Eriksson et al</w:t>
      </w:r>
      <w:r w:rsidR="00997681">
        <w:t>.</w:t>
      </w:r>
      <w:r>
        <w:t xml:space="preserve"> 2008) but the discussion of equity from a formal economic perspective (in terms of vertical and horizontal equity) is sadly lacking in the literature. There are some notable exceptions, for example, Peters and Kramer (2012) or Welch (2013) but these are used for the evaluation of particular policies, for example public transport subsidies (Peters and Kramer 2012) and public transport and affordable housing (Welch, 2013). </w:t>
      </w:r>
      <w:r w:rsidR="00AF4FB3">
        <w:t>Lagura et al (2011) provide a descriptive analysis of income and expenditure differences of inner and outer Melbourne and specific and disaggregated quantitative analysis  A more quantitative approach to the spatial</w:t>
      </w:r>
      <w:r w:rsidR="00F50FBC">
        <w:t xml:space="preserve"> nature of transport provision</w:t>
      </w:r>
      <w:r w:rsidR="00AF4FB3">
        <w:t xml:space="preserve"> </w:t>
      </w:r>
      <w:r w:rsidR="00F50FBC">
        <w:t xml:space="preserve">has only been considered by one recent paper </w:t>
      </w:r>
      <w:r>
        <w:t>(Delbrosc and Currie 2011).</w:t>
      </w:r>
    </w:p>
    <w:p w14:paraId="69F62906" w14:textId="77777777" w:rsidR="002F00DC" w:rsidRDefault="002F00DC" w:rsidP="001E76A9">
      <w:r>
        <w:t>In policy frameworks it is perhaps the norm to consider first the efficiency outcomes of policy and then to consider if adjustments need to be made to meet equity concerns.</w:t>
      </w:r>
      <w:r w:rsidR="00181C01">
        <w:t xml:space="preserve"> </w:t>
      </w:r>
      <w:r>
        <w:t>In the transport domain, the way in which the spatial dimension is often ignored means that policy might inadvertently introduce inequity through a lack of attention to this dimension. Discussions of equity normally distinguish between horizontal and vertical equity.</w:t>
      </w:r>
      <w:r w:rsidR="00181C01">
        <w:t xml:space="preserve"> </w:t>
      </w:r>
      <w:r>
        <w:t>Horizontal equity requires the equal treatment of like persons.</w:t>
      </w:r>
      <w:r w:rsidR="00181C01">
        <w:t xml:space="preserve"> </w:t>
      </w:r>
      <w:r>
        <w:t xml:space="preserve">An example of this might be the charging </w:t>
      </w:r>
      <w:r>
        <w:lastRenderedPageBreak/>
        <w:t>of the same bus fare to all users for the same consumption of service: this user pays approach provides horizontal equity in relation to outcomes. Vertical equity requires fairness in the distribution of wealth amongst different income groups and is often the motivation behind the implementation of new transport infrastructure</w:t>
      </w:r>
      <w:r w:rsidR="00F50FBC">
        <w:t>,</w:t>
      </w:r>
      <w:r>
        <w:t xml:space="preserve"> although the cost benefit evaluation procedure, being based on the </w:t>
      </w:r>
      <w:r w:rsidR="00997681">
        <w:t>Kaldor-Hicks criterion (De Scitovszky 1941)</w:t>
      </w:r>
      <w:r>
        <w:t xml:space="preserve">, does not require that equity considerations are central to the decision </w:t>
      </w:r>
      <w:r w:rsidR="000F3FB3">
        <w:t>(</w:t>
      </w:r>
      <w:r>
        <w:t>even if there are significant equity implications</w:t>
      </w:r>
      <w:r w:rsidR="000F3FB3">
        <w:t>)</w:t>
      </w:r>
      <w:r>
        <w:t>. How to address this problem has been the concern of transport policy for some time and is well articulated in Thomopoulos et al (2010).</w:t>
      </w:r>
      <w:r w:rsidR="00181C01">
        <w:t xml:space="preserve"> </w:t>
      </w:r>
      <w:r>
        <w:t>In terms of public transport access, vertical equity is often assumed by the simple statement of giving equal opportunity to access but this simple definition ignores the spatial component.</w:t>
      </w:r>
    </w:p>
    <w:p w14:paraId="69F62907" w14:textId="77777777" w:rsidR="002F00DC" w:rsidRDefault="002F00DC" w:rsidP="001E76A9">
      <w:r>
        <w:t>The definitions of horizontal and vertical equity above suggest that determining horizontal equity is intrinsically easier than evaluating the degree of vertical equity when the spatial dimension is taken into account.</w:t>
      </w:r>
      <w:r w:rsidR="00181C01">
        <w:t xml:space="preserve"> </w:t>
      </w:r>
      <w:r>
        <w:t>Accessibility studies, such as accessibility planning in the UK, have become widespread as a way of measuring vertical equity, especially for the contribution that public transport, or transport more generally, can make for the transport disadvantaged (Mulley and Daniels 2011) but there is scepticism as to how successful approaches up to now have been in providing solutions (Curl et al</w:t>
      </w:r>
      <w:r w:rsidR="00B14CDE">
        <w:t>.</w:t>
      </w:r>
      <w:r>
        <w:t xml:space="preserve"> 2011). The evidence that exists suggests that more of a multidimensional approach needs to be taken to the question of equity and this is the motivation of this paper.</w:t>
      </w:r>
    </w:p>
    <w:p w14:paraId="69F62908" w14:textId="77777777" w:rsidR="002F00DC" w:rsidRDefault="002F00DC" w:rsidP="001E76A9">
      <w:r>
        <w:t xml:space="preserve">This paper is concerned with an analysis of the ‘fairness’ in the implementation of the network planning guidelines, using Sydney, </w:t>
      </w:r>
      <w:r w:rsidR="002617CC">
        <w:t>New South Wales (NSW)</w:t>
      </w:r>
      <w:r>
        <w:t>, Australia as a case-study.</w:t>
      </w:r>
      <w:r w:rsidR="00181C01">
        <w:t xml:space="preserve"> </w:t>
      </w:r>
      <w:r>
        <w:t xml:space="preserve">As detailed above, the network planning guidelines plan to offer public transport </w:t>
      </w:r>
      <w:r w:rsidR="000F3FB3">
        <w:t xml:space="preserve">which emphasise </w:t>
      </w:r>
      <w:r>
        <w:t>equal spatial access to citizens.</w:t>
      </w:r>
      <w:r w:rsidR="00181C01">
        <w:t xml:space="preserve"> </w:t>
      </w:r>
      <w:r>
        <w:t>Also, as identified above, the guidelines for Sydney are little different to those implemented in many of the big cities around the world.</w:t>
      </w:r>
      <w:r w:rsidR="00181C01">
        <w:t xml:space="preserve"> </w:t>
      </w:r>
      <w:r>
        <w:t>However, the difference for Sydney is that the intent to have an equal spatial distribution of public transport might have different equity impacts to other cities because of the unique topographical conditions of Sydney and the distribution of the population with different socio-demographics.</w:t>
      </w:r>
      <w:r w:rsidR="00181C01">
        <w:t xml:space="preserve"> </w:t>
      </w:r>
      <w:r>
        <w:t xml:space="preserve">In all cities that promote equal spatial access for public transport, it is possible that unfairness is introduced through inadequate consideration being given to the spatial dimension. </w:t>
      </w:r>
    </w:p>
    <w:p w14:paraId="69F62909" w14:textId="77777777" w:rsidR="00A96F04" w:rsidRDefault="002F00DC" w:rsidP="001E76A9">
      <w:r>
        <w:t>This paper addresses the equity issue in a number of different ways</w:t>
      </w:r>
      <w:r w:rsidR="000F3FB3">
        <w:t xml:space="preserve">. </w:t>
      </w:r>
      <w:r>
        <w:t>First, by considering whether there is a mismatch between demand and supply using maps of demand drivers and accessibility of supply.</w:t>
      </w:r>
      <w:r w:rsidR="00181C01">
        <w:t xml:space="preserve"> </w:t>
      </w:r>
      <w:r>
        <w:t>This is not straightforward since a single measure of supply which characterises the accessibility of public transport supply needs to take account of its location in space and its service quality:</w:t>
      </w:r>
      <w:r w:rsidR="00181C01">
        <w:t xml:space="preserve"> </w:t>
      </w:r>
      <w:r>
        <w:t>this paper uses the Public Transport Accessibility Level (PTAL), originally developed by the London Borough of Hammersmith and Fulham and later adopted by Transport for London as their standard measurement of accessibility</w:t>
      </w:r>
      <w:r w:rsidR="00B14CDE">
        <w:t xml:space="preserve"> (Transport for London 2012)</w:t>
      </w:r>
      <w:r>
        <w:t xml:space="preserve">. This measurement recognises the multidimensional nature of transport supply </w:t>
      </w:r>
      <w:r w:rsidR="000F3FB3">
        <w:t xml:space="preserve">focussed </w:t>
      </w:r>
      <w:r>
        <w:t xml:space="preserve">at the bus stop level and is, for this reason, </w:t>
      </w:r>
      <w:r w:rsidR="00A96F04">
        <w:t xml:space="preserve">capable of providing </w:t>
      </w:r>
      <w:r>
        <w:t xml:space="preserve">a better estimate of accessibility than the method adopted by Delbrosc and Currie (2012) which looks at supply at the Census Collection District (now the SA1) with a typical average population of 400 people. </w:t>
      </w:r>
      <w:r w:rsidR="00A96F04">
        <w:t>However, for this paper we have calculate</w:t>
      </w:r>
      <w:r w:rsidR="00DF248E">
        <w:t>d</w:t>
      </w:r>
      <w:r w:rsidR="00A96F04">
        <w:t xml:space="preserve"> PTALs</w:t>
      </w:r>
      <w:r w:rsidR="008D4F85">
        <w:t xml:space="preserve"> at the meshblock level with a typical average population of 60 people, and then aggregate</w:t>
      </w:r>
      <w:r w:rsidR="00DF248E">
        <w:t>d</w:t>
      </w:r>
      <w:r w:rsidR="008D4F85">
        <w:t xml:space="preserve"> up to the SA1 level for the </w:t>
      </w:r>
      <w:r w:rsidR="00DF248E">
        <w:t xml:space="preserve">maps and </w:t>
      </w:r>
      <w:r w:rsidR="008D4F85">
        <w:t>regression modelling.</w:t>
      </w:r>
    </w:p>
    <w:p w14:paraId="69F6290A" w14:textId="77777777" w:rsidR="002F00DC" w:rsidRPr="00E15DE1" w:rsidRDefault="002F00DC" w:rsidP="001E76A9">
      <w:r>
        <w:lastRenderedPageBreak/>
        <w:t xml:space="preserve">Second, building on the discussion on mismatch </w:t>
      </w:r>
      <w:r w:rsidR="000F3FB3">
        <w:t xml:space="preserve">the paper presents </w:t>
      </w:r>
      <w:r>
        <w:t xml:space="preserve">a more formal modelling approach to </w:t>
      </w:r>
      <w:r w:rsidR="000F3FB3">
        <w:t xml:space="preserve">this </w:t>
      </w:r>
      <w:r>
        <w:t>question to allow the simultaneous recognition of a number of variables, including those relating to spatial difference</w:t>
      </w:r>
      <w:r w:rsidR="000F3FB3">
        <w:t>,</w:t>
      </w:r>
      <w:r>
        <w:t xml:space="preserve"> to identify specific spatial areas where the network planning paradigm of equal spatial access might give rise to equity concerns</w:t>
      </w:r>
      <w:r w:rsidR="000F3FB3">
        <w:t>.</w:t>
      </w:r>
      <w:r>
        <w:t xml:space="preserve"> The paper concludes with discussion as to the policy </w:t>
      </w:r>
      <w:r w:rsidRPr="00181C01">
        <w:t>implications.</w:t>
      </w:r>
    </w:p>
    <w:p w14:paraId="69F6290B" w14:textId="77777777" w:rsidR="00B82544" w:rsidRPr="001E76A9" w:rsidRDefault="00B82544" w:rsidP="002365CD">
      <w:pPr>
        <w:pStyle w:val="Heading1"/>
      </w:pPr>
      <w:r w:rsidRPr="001E76A9">
        <w:t>Method</w:t>
      </w:r>
      <w:r w:rsidR="001E76A9">
        <w:t>ology and Data</w:t>
      </w:r>
    </w:p>
    <w:p w14:paraId="69F6290C" w14:textId="204DDCEC" w:rsidR="007A7C67" w:rsidRDefault="007A7C67" w:rsidP="007A7C67">
      <w:pPr>
        <w:rPr>
          <w:rFonts w:cs="Arial"/>
          <w:lang w:val="en-US"/>
        </w:rPr>
      </w:pPr>
      <w:r w:rsidRPr="007C5213">
        <w:rPr>
          <w:rFonts w:cs="Arial"/>
          <w:lang w:val="en-US"/>
        </w:rPr>
        <w:t>As identified in the literature review, there are three questions addressed in this paper</w:t>
      </w:r>
      <w:r w:rsidR="00DE4D76">
        <w:rPr>
          <w:rFonts w:cs="Arial"/>
          <w:lang w:val="en-US"/>
        </w:rPr>
        <w:t xml:space="preserve"> which is a first look at these equity issues in network planning</w:t>
      </w:r>
      <w:r w:rsidRPr="007C5213">
        <w:rPr>
          <w:rFonts w:cs="Arial"/>
          <w:lang w:val="en-US"/>
        </w:rPr>
        <w:t>.</w:t>
      </w:r>
      <w:r w:rsidR="00181C01">
        <w:rPr>
          <w:rFonts w:cs="Arial"/>
          <w:lang w:val="en-US"/>
        </w:rPr>
        <w:t xml:space="preserve"> </w:t>
      </w:r>
      <w:r w:rsidRPr="007C5213">
        <w:rPr>
          <w:rFonts w:cs="Arial"/>
          <w:lang w:val="en-US"/>
        </w:rPr>
        <w:t>These questions are driven by an understanding of supply and demand in a spatial setting.</w:t>
      </w:r>
      <w:r w:rsidR="000F3FB3">
        <w:rPr>
          <w:rFonts w:cs="Arial"/>
          <w:lang w:val="en-US"/>
        </w:rPr>
        <w:t xml:space="preserve"> This section describes the method and data used to investigate these research questions.</w:t>
      </w:r>
      <w:r w:rsidR="006705A4">
        <w:rPr>
          <w:rFonts w:cs="Arial"/>
          <w:lang w:val="en-US"/>
        </w:rPr>
        <w:t xml:space="preserve"> </w:t>
      </w:r>
      <w:r w:rsidR="000F3FB3">
        <w:rPr>
          <w:rFonts w:cs="Arial"/>
          <w:lang w:val="en-US"/>
        </w:rPr>
        <w:t xml:space="preserve">This section is organised as follows: </w:t>
      </w:r>
      <w:r w:rsidR="00F3369C">
        <w:rPr>
          <w:rFonts w:cs="Arial"/>
          <w:lang w:val="en-US"/>
        </w:rPr>
        <w:t>the next section discusses the level of aggregation of the data and the definition and calculation of the PTAL, this is followed by the methodology for the descriptive analysis, the methodology underpinning the modelling and the descriptive statistics for the data.</w:t>
      </w:r>
    </w:p>
    <w:p w14:paraId="69F6290D" w14:textId="77777777" w:rsidR="001E76A9" w:rsidRPr="00B20A70" w:rsidRDefault="001E76A9" w:rsidP="001E76A9">
      <w:pPr>
        <w:pStyle w:val="Heading2"/>
      </w:pPr>
      <w:r>
        <w:t xml:space="preserve">3.1 </w:t>
      </w:r>
      <w:r w:rsidR="00F3369C">
        <w:t>PTAL as a measure of supply</w:t>
      </w:r>
      <w:r w:rsidR="00C53117">
        <w:t xml:space="preserve"> and the level of aggregation</w:t>
      </w:r>
    </w:p>
    <w:p w14:paraId="69F6290E" w14:textId="77777777" w:rsidR="002C3710" w:rsidRDefault="007A7C67" w:rsidP="007A7C67">
      <w:pPr>
        <w:rPr>
          <w:rFonts w:cs="Arial"/>
          <w:lang w:val="en-US"/>
        </w:rPr>
      </w:pPr>
      <w:r w:rsidRPr="00B20A70">
        <w:rPr>
          <w:rFonts w:cs="Arial"/>
          <w:lang w:val="en-US"/>
        </w:rPr>
        <w:t>The spatial identification of supply is undertaken by a</w:t>
      </w:r>
      <w:r w:rsidRPr="001E76A9">
        <w:rPr>
          <w:rFonts w:cs="Arial"/>
          <w:color w:val="000000" w:themeColor="text1"/>
          <w:lang w:val="en-US"/>
        </w:rPr>
        <w:t xml:space="preserve"> </w:t>
      </w:r>
      <w:r w:rsidR="008077FF">
        <w:rPr>
          <w:rFonts w:cs="Arial"/>
          <w:color w:val="000000" w:themeColor="text1"/>
          <w:lang w:val="en-US"/>
        </w:rPr>
        <w:t xml:space="preserve">Public Transport Accessibility Level </w:t>
      </w:r>
      <w:r w:rsidRPr="006A04B4">
        <w:rPr>
          <w:rFonts w:cs="Arial"/>
          <w:lang w:val="en-US"/>
        </w:rPr>
        <w:t xml:space="preserve">(PTAL) analysis </w:t>
      </w:r>
      <w:r w:rsidR="00A20EB6" w:rsidRPr="006A04B4">
        <w:rPr>
          <w:rFonts w:cs="Arial"/>
          <w:lang w:val="en-US"/>
        </w:rPr>
        <w:t>undertaken at the Sydney Urban Centre</w:t>
      </w:r>
      <w:r w:rsidR="008B2F97" w:rsidRPr="006A04B4">
        <w:rPr>
          <w:rFonts w:cs="Arial"/>
          <w:lang w:val="en-US"/>
        </w:rPr>
        <w:t xml:space="preserve"> (Sydney UC)</w:t>
      </w:r>
      <w:r w:rsidR="00A20EB6" w:rsidRPr="006A04B4">
        <w:rPr>
          <w:rFonts w:cs="Arial"/>
          <w:lang w:val="en-US"/>
        </w:rPr>
        <w:t xml:space="preserve"> level</w:t>
      </w:r>
      <w:r w:rsidRPr="006A04B4">
        <w:rPr>
          <w:rFonts w:cs="Arial"/>
          <w:lang w:val="en-US"/>
        </w:rPr>
        <w:t xml:space="preserve">. The evidence for </w:t>
      </w:r>
      <w:r w:rsidR="008B2F97" w:rsidRPr="006A04B4">
        <w:rPr>
          <w:rFonts w:cs="Arial"/>
          <w:lang w:val="en-US"/>
        </w:rPr>
        <w:t xml:space="preserve">potential drivers of </w:t>
      </w:r>
      <w:r w:rsidRPr="006A04B4">
        <w:rPr>
          <w:rFonts w:cs="Arial"/>
          <w:lang w:val="en-US"/>
        </w:rPr>
        <w:t xml:space="preserve">demand is taken from various </w:t>
      </w:r>
      <w:r w:rsidR="00A20EB6" w:rsidRPr="006A04B4">
        <w:rPr>
          <w:rFonts w:cs="Arial"/>
          <w:lang w:val="en-US"/>
        </w:rPr>
        <w:t>C</w:t>
      </w:r>
      <w:r w:rsidRPr="006A04B4">
        <w:rPr>
          <w:rFonts w:cs="Arial"/>
          <w:lang w:val="en-US"/>
        </w:rPr>
        <w:t xml:space="preserve">ensus </w:t>
      </w:r>
      <w:r w:rsidR="00A20EB6" w:rsidRPr="006A04B4">
        <w:rPr>
          <w:rFonts w:cs="Arial"/>
          <w:lang w:val="en-US"/>
        </w:rPr>
        <w:t>variables at the SA1 geography.</w:t>
      </w:r>
      <w:r w:rsidR="00181C01">
        <w:rPr>
          <w:rFonts w:cs="Arial"/>
          <w:lang w:val="en-US"/>
        </w:rPr>
        <w:t xml:space="preserve"> </w:t>
      </w:r>
      <w:r w:rsidR="00A20EB6" w:rsidRPr="006A04B4">
        <w:rPr>
          <w:rFonts w:cs="Arial"/>
          <w:lang w:val="en-US"/>
        </w:rPr>
        <w:t>SA1s generally have a population of 200 to 800 persons and an average population of 400 persons</w:t>
      </w:r>
      <w:r w:rsidR="008C0E6A">
        <w:rPr>
          <w:rFonts w:cs="Arial"/>
          <w:lang w:val="en-US"/>
        </w:rPr>
        <w:t xml:space="preserve"> (Australian Bureau of Statistics 2011a, hereafter referred to as ABS)</w:t>
      </w:r>
      <w:r w:rsidR="00A20EB6" w:rsidRPr="006A04B4">
        <w:rPr>
          <w:rFonts w:cs="Arial"/>
          <w:lang w:val="en-US"/>
        </w:rPr>
        <w:t xml:space="preserve">. This fits well with the Urban Centre (UC) classification </w:t>
      </w:r>
      <w:r w:rsidR="008C0E6A">
        <w:rPr>
          <w:rFonts w:cs="Arial"/>
          <w:lang w:val="en-US"/>
        </w:rPr>
        <w:t xml:space="preserve">(ABS </w:t>
      </w:r>
      <w:r w:rsidR="00AF2F72">
        <w:rPr>
          <w:rFonts w:cs="Arial"/>
          <w:lang w:val="en-US"/>
        </w:rPr>
        <w:t>2011</w:t>
      </w:r>
      <w:r w:rsidR="008C0E6A">
        <w:rPr>
          <w:rFonts w:cs="Arial"/>
          <w:lang w:val="en-US"/>
        </w:rPr>
        <w:t>b)</w:t>
      </w:r>
      <w:r w:rsidR="00A20EB6" w:rsidRPr="006A04B4">
        <w:rPr>
          <w:rFonts w:cs="Arial"/>
          <w:lang w:val="en-US"/>
        </w:rPr>
        <w:t xml:space="preserve"> since the UCs are built up from the SA1 geographies.</w:t>
      </w:r>
      <w:r w:rsidR="00181C01">
        <w:rPr>
          <w:rFonts w:cs="Arial"/>
          <w:lang w:val="en-US"/>
        </w:rPr>
        <w:t xml:space="preserve"> </w:t>
      </w:r>
      <w:r w:rsidR="00A20EB6" w:rsidRPr="006A04B4">
        <w:rPr>
          <w:rFonts w:cs="Arial"/>
          <w:lang w:val="en-US"/>
        </w:rPr>
        <w:t>An UC is defined as a “cluster of contiguous SA1s with an aggregate population exceeding 1,000 persons contained within the SA1s that are of ‘urban character’” (ABS 2011</w:t>
      </w:r>
      <w:r w:rsidR="008C0E6A">
        <w:rPr>
          <w:rFonts w:cs="Arial"/>
          <w:lang w:val="en-US"/>
        </w:rPr>
        <w:t>b</w:t>
      </w:r>
      <w:r w:rsidR="00A20EB6" w:rsidRPr="006A04B4">
        <w:rPr>
          <w:rFonts w:cs="Arial"/>
          <w:lang w:val="en-US"/>
        </w:rPr>
        <w:t>).</w:t>
      </w:r>
      <w:r w:rsidR="00181C01">
        <w:rPr>
          <w:rFonts w:cs="Arial"/>
          <w:lang w:val="en-US"/>
        </w:rPr>
        <w:t xml:space="preserve"> </w:t>
      </w:r>
      <w:r w:rsidR="00A20EB6" w:rsidRPr="006A04B4">
        <w:rPr>
          <w:rFonts w:cs="Arial"/>
          <w:lang w:val="en-US"/>
        </w:rPr>
        <w:t xml:space="preserve">Thus to identify whether an SA1 could belong to an UC, it must satisfy the criteria of urban character which relates to specific </w:t>
      </w:r>
      <w:r w:rsidR="008B2F97" w:rsidRPr="006A04B4">
        <w:rPr>
          <w:rFonts w:cs="Arial"/>
          <w:lang w:val="en-US"/>
        </w:rPr>
        <w:t>population density requirements.</w:t>
      </w:r>
      <w:r w:rsidR="00181C01">
        <w:rPr>
          <w:rFonts w:cs="Arial"/>
          <w:lang w:val="en-US"/>
        </w:rPr>
        <w:t xml:space="preserve"> </w:t>
      </w:r>
      <w:r w:rsidR="008B2F97" w:rsidRPr="006A04B4">
        <w:rPr>
          <w:rFonts w:cs="Arial"/>
          <w:lang w:val="en-US"/>
        </w:rPr>
        <w:t>The method of looking at supply from Sydney UC and demand using SA1 geographies allows a comparison to be made using a sensible spatial correspondence.</w:t>
      </w:r>
      <w:r w:rsidR="00181C01">
        <w:rPr>
          <w:rFonts w:cs="Arial"/>
          <w:lang w:val="en-US"/>
        </w:rPr>
        <w:t xml:space="preserve"> </w:t>
      </w:r>
    </w:p>
    <w:p w14:paraId="69F6290F" w14:textId="77777777" w:rsidR="003073CD" w:rsidRDefault="008077FF" w:rsidP="00B82544">
      <w:pPr>
        <w:rPr>
          <w:rFonts w:eastAsia="Times New Roman" w:cs="Arial"/>
          <w:color w:val="000000"/>
          <w:lang w:val="en-US"/>
        </w:rPr>
      </w:pPr>
      <w:r w:rsidRPr="001E76A9">
        <w:rPr>
          <w:rFonts w:eastAsia="Times New Roman" w:cs="Arial"/>
          <w:color w:val="000000"/>
          <w:lang w:val="en-US"/>
        </w:rPr>
        <w:t>Public Transport Accessibility Level (PTAL) is a measure of the accessibility of a point</w:t>
      </w:r>
      <w:r w:rsidR="0017456C">
        <w:rPr>
          <w:rFonts w:eastAsia="Times New Roman" w:cs="Arial"/>
          <w:color w:val="000000"/>
          <w:lang w:val="en-US"/>
        </w:rPr>
        <w:t xml:space="preserve"> of interest (POI)</w:t>
      </w:r>
      <w:r w:rsidRPr="001E76A9">
        <w:rPr>
          <w:rFonts w:eastAsia="Times New Roman" w:cs="Arial"/>
          <w:color w:val="000000"/>
          <w:lang w:val="en-US"/>
        </w:rPr>
        <w:t xml:space="preserve"> to the public transport network (Transport for London 2010</w:t>
      </w:r>
      <w:r w:rsidR="006A04B4">
        <w:rPr>
          <w:rFonts w:eastAsia="Times New Roman" w:cs="Arial"/>
          <w:color w:val="000000"/>
          <w:lang w:val="en-US"/>
        </w:rPr>
        <w:t>, hereafter TFL 2010</w:t>
      </w:r>
      <w:r w:rsidRPr="001E76A9">
        <w:rPr>
          <w:rFonts w:eastAsia="Times New Roman" w:cs="Arial"/>
          <w:color w:val="000000"/>
          <w:lang w:val="en-US"/>
        </w:rPr>
        <w:t xml:space="preserve">). The PTAL </w:t>
      </w:r>
      <w:r w:rsidR="0017456C">
        <w:rPr>
          <w:rFonts w:eastAsia="Times New Roman" w:cs="Arial"/>
          <w:color w:val="000000"/>
          <w:lang w:val="en-US"/>
        </w:rPr>
        <w:t xml:space="preserve">methodology </w:t>
      </w:r>
      <w:r w:rsidRPr="001E76A9">
        <w:rPr>
          <w:rFonts w:eastAsia="Times New Roman" w:cs="Arial"/>
          <w:color w:val="000000"/>
          <w:lang w:val="en-US"/>
        </w:rPr>
        <w:t xml:space="preserve">defines accessibility in terms of the time taken to walk to a </w:t>
      </w:r>
      <w:r w:rsidR="0017456C">
        <w:rPr>
          <w:rFonts w:eastAsia="Times New Roman" w:cs="Arial"/>
          <w:color w:val="000000"/>
          <w:lang w:val="en-US"/>
        </w:rPr>
        <w:t>public transport access point (i.e. bus stop or railway station),</w:t>
      </w:r>
      <w:r w:rsidR="0017456C" w:rsidRPr="001E76A9">
        <w:rPr>
          <w:rFonts w:eastAsia="Times New Roman" w:cs="Arial"/>
          <w:color w:val="000000"/>
          <w:lang w:val="en-US"/>
        </w:rPr>
        <w:t xml:space="preserve"> the average waiting time for a public transport service </w:t>
      </w:r>
      <w:r w:rsidR="0017456C">
        <w:rPr>
          <w:rFonts w:eastAsia="Times New Roman" w:cs="Arial"/>
          <w:color w:val="000000"/>
          <w:lang w:val="en-US"/>
        </w:rPr>
        <w:t>at that access point and the reliability of the mode. All access points within a certain walking distance of the POI</w:t>
      </w:r>
      <w:r w:rsidR="00091FE8">
        <w:rPr>
          <w:rFonts w:eastAsia="Times New Roman" w:cs="Arial"/>
          <w:color w:val="000000"/>
          <w:lang w:val="en-US"/>
        </w:rPr>
        <w:t xml:space="preserve"> </w:t>
      </w:r>
      <w:r w:rsidR="008D4F85">
        <w:rPr>
          <w:rFonts w:eastAsia="Times New Roman" w:cs="Arial"/>
          <w:color w:val="000000"/>
          <w:lang w:val="en-US"/>
        </w:rPr>
        <w:t>(or meshblock for the purposes of this paper) are</w:t>
      </w:r>
      <w:r w:rsidR="0017456C">
        <w:rPr>
          <w:rFonts w:eastAsia="Times New Roman" w:cs="Arial"/>
          <w:color w:val="000000"/>
          <w:lang w:val="en-US"/>
        </w:rPr>
        <w:t xml:space="preserve"> included in the calculation but only the nearest access point for each route is included.</w:t>
      </w:r>
      <w:r w:rsidR="008D4F85">
        <w:rPr>
          <w:rFonts w:eastAsia="Times New Roman" w:cs="Arial"/>
          <w:color w:val="000000"/>
          <w:lang w:val="en-US"/>
        </w:rPr>
        <w:t xml:space="preserve"> </w:t>
      </w:r>
    </w:p>
    <w:p w14:paraId="69F62910" w14:textId="77777777" w:rsidR="008D4F85" w:rsidRDefault="006A04B4" w:rsidP="00B82544">
      <w:pPr>
        <w:rPr>
          <w:rFonts w:eastAsia="Times New Roman" w:cs="Arial"/>
          <w:color w:val="000000"/>
          <w:lang w:val="en-US"/>
        </w:rPr>
      </w:pPr>
      <w:r>
        <w:rPr>
          <w:rFonts w:eastAsia="Times New Roman" w:cs="Arial"/>
          <w:color w:val="000000"/>
          <w:lang w:val="en-US"/>
        </w:rPr>
        <w:t>The T</w:t>
      </w:r>
      <w:r w:rsidR="003073CD">
        <w:rPr>
          <w:rFonts w:eastAsia="Times New Roman" w:cs="Arial"/>
          <w:color w:val="000000"/>
          <w:lang w:val="en-US"/>
        </w:rPr>
        <w:t xml:space="preserve">otal </w:t>
      </w:r>
      <w:r>
        <w:rPr>
          <w:rFonts w:eastAsia="Times New Roman" w:cs="Arial"/>
          <w:color w:val="000000"/>
          <w:lang w:val="en-US"/>
        </w:rPr>
        <w:t>A</w:t>
      </w:r>
      <w:r w:rsidR="003073CD">
        <w:rPr>
          <w:rFonts w:eastAsia="Times New Roman" w:cs="Arial"/>
          <w:color w:val="000000"/>
          <w:lang w:val="en-US"/>
        </w:rPr>
        <w:t xml:space="preserve">ccess </w:t>
      </w:r>
      <w:r>
        <w:rPr>
          <w:rFonts w:eastAsia="Times New Roman" w:cs="Arial"/>
          <w:color w:val="000000"/>
          <w:lang w:val="en-US"/>
        </w:rPr>
        <w:t>T</w:t>
      </w:r>
      <w:r w:rsidR="003073CD">
        <w:rPr>
          <w:rFonts w:eastAsia="Times New Roman" w:cs="Arial"/>
          <w:color w:val="000000"/>
          <w:lang w:val="en-US"/>
        </w:rPr>
        <w:t xml:space="preserve">ime </w:t>
      </w:r>
      <w:r>
        <w:rPr>
          <w:rFonts w:eastAsia="Times New Roman" w:cs="Arial"/>
          <w:color w:val="000000"/>
          <w:lang w:val="en-US"/>
        </w:rPr>
        <w:t xml:space="preserve">(TAT) </w:t>
      </w:r>
      <w:r w:rsidR="003073CD">
        <w:rPr>
          <w:rFonts w:eastAsia="Times New Roman" w:cs="Arial"/>
          <w:color w:val="000000"/>
          <w:lang w:val="en-US"/>
        </w:rPr>
        <w:t xml:space="preserve">from a POI to a particular access point is calculated as the sum of walking time, average waiting time and the mode reliability penalty. This is converted to an Equivalent Doorstop Frequency </w:t>
      </w:r>
      <w:r>
        <w:rPr>
          <w:rFonts w:eastAsia="Times New Roman" w:cs="Arial"/>
          <w:color w:val="000000"/>
          <w:lang w:val="en-US"/>
        </w:rPr>
        <w:t>(EDF) using the formula EDF = 30/TAT. The sum of the EDFs for each route give the PTAL for that point (TfL 2010). Public transport access at a particular point can then be categorised according to the value of the PTAL index as shown in Table 1</w:t>
      </w:r>
      <w:r w:rsidR="008D4F85">
        <w:rPr>
          <w:rFonts w:eastAsia="Times New Roman" w:cs="Arial"/>
          <w:color w:val="000000"/>
          <w:lang w:val="en-US"/>
        </w:rPr>
        <w:t>.</w:t>
      </w:r>
    </w:p>
    <w:p w14:paraId="69F62911" w14:textId="77777777" w:rsidR="008D4F85" w:rsidRDefault="008D4F85">
      <w:pPr>
        <w:rPr>
          <w:rFonts w:eastAsia="Times New Roman" w:cs="Arial"/>
          <w:color w:val="000000"/>
          <w:lang w:val="en-US"/>
        </w:rPr>
      </w:pPr>
      <w:r>
        <w:rPr>
          <w:rFonts w:eastAsia="Times New Roman" w:cs="Arial"/>
          <w:color w:val="000000"/>
          <w:lang w:val="en-US"/>
        </w:rPr>
        <w:br w:type="page"/>
      </w:r>
    </w:p>
    <w:p w14:paraId="69F62912" w14:textId="77777777" w:rsidR="006A04B4" w:rsidRPr="006705A4" w:rsidRDefault="006A04B4" w:rsidP="006705A4">
      <w:pPr>
        <w:spacing w:after="0"/>
        <w:jc w:val="center"/>
        <w:rPr>
          <w:rFonts w:eastAsia="Times New Roman" w:cs="Arial"/>
          <w:b/>
          <w:color w:val="000000"/>
          <w:lang w:val="en-US"/>
        </w:rPr>
      </w:pPr>
      <w:r w:rsidRPr="006705A4">
        <w:rPr>
          <w:rFonts w:eastAsia="Times New Roman" w:cs="Arial"/>
          <w:b/>
          <w:color w:val="000000"/>
          <w:lang w:val="en-US"/>
        </w:rPr>
        <w:lastRenderedPageBreak/>
        <w:t>Table 1: PTAL index values</w:t>
      </w:r>
    </w:p>
    <w:tbl>
      <w:tblPr>
        <w:tblW w:w="5743" w:type="dxa"/>
        <w:jc w:val="center"/>
        <w:tblLook w:val="04A0" w:firstRow="1" w:lastRow="0" w:firstColumn="1" w:lastColumn="0" w:noHBand="0" w:noVBand="1"/>
      </w:tblPr>
      <w:tblGrid>
        <w:gridCol w:w="717"/>
        <w:gridCol w:w="1412"/>
        <w:gridCol w:w="1198"/>
        <w:gridCol w:w="1123"/>
        <w:gridCol w:w="1353"/>
      </w:tblGrid>
      <w:tr w:rsidR="006A04B4" w:rsidRPr="006705A4" w14:paraId="69F62917" w14:textId="77777777" w:rsidTr="006705A4">
        <w:trPr>
          <w:trHeight w:val="300"/>
          <w:jc w:val="center"/>
        </w:trPr>
        <w:tc>
          <w:tcPr>
            <w:tcW w:w="657" w:type="dxa"/>
            <w:tcBorders>
              <w:top w:val="single" w:sz="4" w:space="0" w:color="auto"/>
              <w:left w:val="nil"/>
              <w:bottom w:val="nil"/>
              <w:right w:val="nil"/>
            </w:tcBorders>
            <w:shd w:val="clear" w:color="auto" w:fill="auto"/>
            <w:noWrap/>
            <w:vAlign w:val="bottom"/>
            <w:hideMark/>
          </w:tcPr>
          <w:p w14:paraId="69F62913" w14:textId="77777777" w:rsidR="006705A4" w:rsidRPr="006705A4" w:rsidRDefault="006705A4" w:rsidP="006705A4">
            <w:pPr>
              <w:spacing w:after="0" w:line="240" w:lineRule="auto"/>
              <w:rPr>
                <w:rFonts w:eastAsia="Times New Roman" w:cs="Arial"/>
                <w:color w:val="000000"/>
                <w:sz w:val="20"/>
                <w:szCs w:val="20"/>
                <w:lang w:eastAsia="en-AU"/>
              </w:rPr>
            </w:pPr>
          </w:p>
        </w:tc>
        <w:tc>
          <w:tcPr>
            <w:tcW w:w="1412" w:type="dxa"/>
            <w:tcBorders>
              <w:top w:val="single" w:sz="4" w:space="0" w:color="auto"/>
              <w:left w:val="nil"/>
              <w:bottom w:val="nil"/>
              <w:right w:val="nil"/>
            </w:tcBorders>
            <w:shd w:val="clear" w:color="auto" w:fill="auto"/>
            <w:noWrap/>
            <w:vAlign w:val="bottom"/>
            <w:hideMark/>
          </w:tcPr>
          <w:p w14:paraId="69F62914"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2321" w:type="dxa"/>
            <w:gridSpan w:val="2"/>
            <w:tcBorders>
              <w:top w:val="single" w:sz="4" w:space="0" w:color="auto"/>
              <w:left w:val="nil"/>
              <w:bottom w:val="nil"/>
              <w:right w:val="nil"/>
            </w:tcBorders>
            <w:shd w:val="clear" w:color="auto" w:fill="auto"/>
            <w:noWrap/>
            <w:vAlign w:val="bottom"/>
            <w:hideMark/>
          </w:tcPr>
          <w:p w14:paraId="69F62915"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Range of index</w:t>
            </w:r>
          </w:p>
        </w:tc>
        <w:tc>
          <w:tcPr>
            <w:tcW w:w="1353" w:type="dxa"/>
            <w:tcBorders>
              <w:top w:val="single" w:sz="4" w:space="0" w:color="auto"/>
              <w:left w:val="nil"/>
              <w:bottom w:val="nil"/>
              <w:right w:val="nil"/>
            </w:tcBorders>
            <w:shd w:val="clear" w:color="auto" w:fill="auto"/>
            <w:noWrap/>
            <w:vAlign w:val="bottom"/>
            <w:hideMark/>
          </w:tcPr>
          <w:p w14:paraId="69F62916" w14:textId="77777777" w:rsidR="006A04B4" w:rsidRPr="006705A4" w:rsidRDefault="006A04B4" w:rsidP="00F10FAA">
            <w:pPr>
              <w:spacing w:after="0" w:line="240" w:lineRule="auto"/>
              <w:jc w:val="center"/>
              <w:rPr>
                <w:rFonts w:eastAsia="Times New Roman" w:cs="Arial"/>
                <w:color w:val="000000"/>
                <w:sz w:val="20"/>
                <w:szCs w:val="20"/>
                <w:lang w:eastAsia="en-AU"/>
              </w:rPr>
            </w:pPr>
          </w:p>
        </w:tc>
      </w:tr>
      <w:tr w:rsidR="006A04B4" w:rsidRPr="006705A4" w14:paraId="69F6291D" w14:textId="77777777" w:rsidTr="006705A4">
        <w:trPr>
          <w:trHeight w:val="300"/>
          <w:jc w:val="center"/>
        </w:trPr>
        <w:tc>
          <w:tcPr>
            <w:tcW w:w="657" w:type="dxa"/>
            <w:tcBorders>
              <w:top w:val="nil"/>
              <w:left w:val="nil"/>
              <w:bottom w:val="single" w:sz="4" w:space="0" w:color="auto"/>
              <w:right w:val="nil"/>
            </w:tcBorders>
            <w:shd w:val="clear" w:color="auto" w:fill="auto"/>
            <w:noWrap/>
            <w:vAlign w:val="bottom"/>
            <w:hideMark/>
          </w:tcPr>
          <w:p w14:paraId="69F62918"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PTAL</w:t>
            </w:r>
          </w:p>
        </w:tc>
        <w:tc>
          <w:tcPr>
            <w:tcW w:w="1412" w:type="dxa"/>
            <w:tcBorders>
              <w:top w:val="nil"/>
              <w:left w:val="nil"/>
              <w:bottom w:val="single" w:sz="4" w:space="0" w:color="auto"/>
              <w:right w:val="nil"/>
            </w:tcBorders>
            <w:shd w:val="clear" w:color="auto" w:fill="auto"/>
            <w:noWrap/>
            <w:vAlign w:val="bottom"/>
            <w:hideMark/>
          </w:tcPr>
          <w:p w14:paraId="69F62919"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Accessibility</w:t>
            </w:r>
          </w:p>
        </w:tc>
        <w:tc>
          <w:tcPr>
            <w:tcW w:w="1198" w:type="dxa"/>
            <w:tcBorders>
              <w:top w:val="nil"/>
              <w:left w:val="nil"/>
              <w:bottom w:val="single" w:sz="4" w:space="0" w:color="auto"/>
              <w:right w:val="nil"/>
            </w:tcBorders>
            <w:shd w:val="clear" w:color="auto" w:fill="auto"/>
            <w:noWrap/>
            <w:vAlign w:val="bottom"/>
            <w:hideMark/>
          </w:tcPr>
          <w:p w14:paraId="69F6291A"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Minimum</w:t>
            </w:r>
          </w:p>
        </w:tc>
        <w:tc>
          <w:tcPr>
            <w:tcW w:w="1123" w:type="dxa"/>
            <w:tcBorders>
              <w:top w:val="nil"/>
              <w:left w:val="nil"/>
              <w:bottom w:val="single" w:sz="4" w:space="0" w:color="auto"/>
              <w:right w:val="nil"/>
            </w:tcBorders>
            <w:shd w:val="clear" w:color="auto" w:fill="auto"/>
            <w:noWrap/>
            <w:vAlign w:val="bottom"/>
            <w:hideMark/>
          </w:tcPr>
          <w:p w14:paraId="69F6291B"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Maximum</w:t>
            </w:r>
          </w:p>
        </w:tc>
        <w:tc>
          <w:tcPr>
            <w:tcW w:w="1353" w:type="dxa"/>
            <w:tcBorders>
              <w:top w:val="nil"/>
              <w:left w:val="nil"/>
              <w:bottom w:val="single" w:sz="4" w:space="0" w:color="auto"/>
              <w:right w:val="nil"/>
            </w:tcBorders>
            <w:shd w:val="clear" w:color="auto" w:fill="auto"/>
            <w:noWrap/>
            <w:vAlign w:val="bottom"/>
            <w:hideMark/>
          </w:tcPr>
          <w:p w14:paraId="69F6291C"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Map colour</w:t>
            </w:r>
          </w:p>
        </w:tc>
      </w:tr>
      <w:tr w:rsidR="006A04B4" w:rsidRPr="006705A4" w14:paraId="69F62923" w14:textId="77777777" w:rsidTr="006705A4">
        <w:trPr>
          <w:trHeight w:val="300"/>
          <w:jc w:val="center"/>
        </w:trPr>
        <w:tc>
          <w:tcPr>
            <w:tcW w:w="657" w:type="dxa"/>
            <w:tcBorders>
              <w:top w:val="nil"/>
              <w:left w:val="nil"/>
              <w:bottom w:val="nil"/>
              <w:right w:val="nil"/>
            </w:tcBorders>
            <w:shd w:val="clear" w:color="auto" w:fill="auto"/>
            <w:noWrap/>
            <w:vAlign w:val="bottom"/>
            <w:hideMark/>
          </w:tcPr>
          <w:p w14:paraId="69F6291E"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1a</w:t>
            </w:r>
          </w:p>
        </w:tc>
        <w:tc>
          <w:tcPr>
            <w:tcW w:w="1412" w:type="dxa"/>
            <w:tcBorders>
              <w:top w:val="nil"/>
              <w:left w:val="nil"/>
              <w:bottom w:val="nil"/>
              <w:right w:val="nil"/>
            </w:tcBorders>
            <w:shd w:val="clear" w:color="auto" w:fill="auto"/>
            <w:noWrap/>
            <w:vAlign w:val="bottom"/>
            <w:hideMark/>
          </w:tcPr>
          <w:p w14:paraId="69F6291F"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Very poor</w:t>
            </w:r>
          </w:p>
        </w:tc>
        <w:tc>
          <w:tcPr>
            <w:tcW w:w="1198" w:type="dxa"/>
            <w:tcBorders>
              <w:top w:val="nil"/>
              <w:left w:val="nil"/>
              <w:bottom w:val="nil"/>
              <w:right w:val="nil"/>
            </w:tcBorders>
            <w:shd w:val="clear" w:color="auto" w:fill="auto"/>
            <w:noWrap/>
            <w:vAlign w:val="bottom"/>
            <w:hideMark/>
          </w:tcPr>
          <w:p w14:paraId="69F62920" w14:textId="77777777" w:rsidR="006A04B4" w:rsidRPr="006705A4" w:rsidRDefault="006A04B4" w:rsidP="00F10FAA">
            <w:pPr>
              <w:spacing w:after="0" w:line="240" w:lineRule="auto"/>
              <w:jc w:val="right"/>
              <w:rPr>
                <w:rFonts w:eastAsia="Times New Roman" w:cs="Arial"/>
                <w:color w:val="000000"/>
                <w:sz w:val="20"/>
                <w:szCs w:val="20"/>
                <w:lang w:eastAsia="en-AU"/>
              </w:rPr>
            </w:pPr>
          </w:p>
        </w:tc>
        <w:tc>
          <w:tcPr>
            <w:tcW w:w="1123" w:type="dxa"/>
            <w:tcBorders>
              <w:top w:val="nil"/>
              <w:left w:val="nil"/>
              <w:bottom w:val="nil"/>
              <w:right w:val="nil"/>
            </w:tcBorders>
            <w:shd w:val="clear" w:color="auto" w:fill="auto"/>
            <w:noWrap/>
            <w:vAlign w:val="bottom"/>
            <w:hideMark/>
          </w:tcPr>
          <w:p w14:paraId="69F62921"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2.50</w:t>
            </w:r>
          </w:p>
        </w:tc>
        <w:tc>
          <w:tcPr>
            <w:tcW w:w="1353" w:type="dxa"/>
            <w:tcBorders>
              <w:top w:val="nil"/>
              <w:left w:val="nil"/>
              <w:bottom w:val="nil"/>
              <w:right w:val="nil"/>
            </w:tcBorders>
            <w:shd w:val="clear" w:color="auto" w:fill="2892C7"/>
            <w:noWrap/>
            <w:vAlign w:val="bottom"/>
            <w:hideMark/>
          </w:tcPr>
          <w:p w14:paraId="69F62922" w14:textId="77777777" w:rsidR="006A04B4" w:rsidRPr="006705A4" w:rsidRDefault="006A04B4" w:rsidP="00F10FAA">
            <w:pPr>
              <w:spacing w:after="0" w:line="240" w:lineRule="auto"/>
              <w:rPr>
                <w:rFonts w:eastAsia="Times New Roman" w:cs="Arial"/>
                <w:color w:val="FF0000"/>
                <w:sz w:val="20"/>
                <w:szCs w:val="20"/>
                <w:lang w:eastAsia="en-AU"/>
              </w:rPr>
            </w:pPr>
            <w:r w:rsidRPr="006705A4">
              <w:rPr>
                <w:rFonts w:eastAsia="Times New Roman" w:cs="Arial"/>
                <w:color w:val="000000"/>
                <w:sz w:val="20"/>
                <w:szCs w:val="20"/>
                <w:lang w:eastAsia="en-AU"/>
              </w:rPr>
              <w:t> </w:t>
            </w:r>
          </w:p>
        </w:tc>
      </w:tr>
      <w:tr w:rsidR="006A04B4" w:rsidRPr="006705A4" w14:paraId="69F62929" w14:textId="77777777" w:rsidTr="006705A4">
        <w:trPr>
          <w:trHeight w:val="300"/>
          <w:jc w:val="center"/>
        </w:trPr>
        <w:tc>
          <w:tcPr>
            <w:tcW w:w="657" w:type="dxa"/>
            <w:tcBorders>
              <w:top w:val="nil"/>
              <w:left w:val="nil"/>
              <w:bottom w:val="nil"/>
              <w:right w:val="nil"/>
            </w:tcBorders>
            <w:shd w:val="clear" w:color="auto" w:fill="auto"/>
            <w:noWrap/>
            <w:vAlign w:val="bottom"/>
            <w:hideMark/>
          </w:tcPr>
          <w:p w14:paraId="69F62924"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1b</w:t>
            </w:r>
          </w:p>
        </w:tc>
        <w:tc>
          <w:tcPr>
            <w:tcW w:w="1412" w:type="dxa"/>
            <w:tcBorders>
              <w:top w:val="nil"/>
              <w:left w:val="nil"/>
              <w:bottom w:val="nil"/>
              <w:right w:val="nil"/>
            </w:tcBorders>
            <w:shd w:val="clear" w:color="auto" w:fill="auto"/>
            <w:noWrap/>
            <w:vAlign w:val="bottom"/>
            <w:hideMark/>
          </w:tcPr>
          <w:p w14:paraId="69F62925"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Very poor</w:t>
            </w:r>
          </w:p>
        </w:tc>
        <w:tc>
          <w:tcPr>
            <w:tcW w:w="1198" w:type="dxa"/>
            <w:tcBorders>
              <w:top w:val="nil"/>
              <w:left w:val="nil"/>
              <w:bottom w:val="nil"/>
              <w:right w:val="nil"/>
            </w:tcBorders>
            <w:shd w:val="clear" w:color="auto" w:fill="auto"/>
            <w:noWrap/>
            <w:vAlign w:val="bottom"/>
            <w:hideMark/>
          </w:tcPr>
          <w:p w14:paraId="69F62926"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2.51</w:t>
            </w:r>
          </w:p>
        </w:tc>
        <w:tc>
          <w:tcPr>
            <w:tcW w:w="1123" w:type="dxa"/>
            <w:tcBorders>
              <w:top w:val="nil"/>
              <w:left w:val="nil"/>
              <w:bottom w:val="nil"/>
              <w:right w:val="nil"/>
            </w:tcBorders>
            <w:shd w:val="clear" w:color="auto" w:fill="auto"/>
            <w:noWrap/>
            <w:vAlign w:val="bottom"/>
            <w:hideMark/>
          </w:tcPr>
          <w:p w14:paraId="69F62927"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5.00</w:t>
            </w:r>
          </w:p>
        </w:tc>
        <w:tc>
          <w:tcPr>
            <w:tcW w:w="1353" w:type="dxa"/>
            <w:tcBorders>
              <w:top w:val="nil"/>
              <w:left w:val="nil"/>
              <w:bottom w:val="nil"/>
              <w:right w:val="nil"/>
            </w:tcBorders>
            <w:shd w:val="clear" w:color="auto" w:fill="74ABAD"/>
            <w:noWrap/>
            <w:vAlign w:val="bottom"/>
            <w:hideMark/>
          </w:tcPr>
          <w:p w14:paraId="69F62928"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r w:rsidR="006A04B4" w:rsidRPr="006705A4" w14:paraId="69F6292F" w14:textId="77777777" w:rsidTr="006705A4">
        <w:trPr>
          <w:trHeight w:val="300"/>
          <w:jc w:val="center"/>
        </w:trPr>
        <w:tc>
          <w:tcPr>
            <w:tcW w:w="657" w:type="dxa"/>
            <w:tcBorders>
              <w:top w:val="nil"/>
              <w:left w:val="nil"/>
              <w:bottom w:val="nil"/>
              <w:right w:val="nil"/>
            </w:tcBorders>
            <w:shd w:val="clear" w:color="auto" w:fill="auto"/>
            <w:noWrap/>
            <w:vAlign w:val="bottom"/>
            <w:hideMark/>
          </w:tcPr>
          <w:p w14:paraId="69F6292A"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2</w:t>
            </w:r>
          </w:p>
        </w:tc>
        <w:tc>
          <w:tcPr>
            <w:tcW w:w="1412" w:type="dxa"/>
            <w:tcBorders>
              <w:top w:val="nil"/>
              <w:left w:val="nil"/>
              <w:bottom w:val="nil"/>
              <w:right w:val="nil"/>
            </w:tcBorders>
            <w:shd w:val="clear" w:color="auto" w:fill="auto"/>
            <w:noWrap/>
            <w:vAlign w:val="bottom"/>
            <w:hideMark/>
          </w:tcPr>
          <w:p w14:paraId="69F6292B"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Poor</w:t>
            </w:r>
          </w:p>
        </w:tc>
        <w:tc>
          <w:tcPr>
            <w:tcW w:w="1198" w:type="dxa"/>
            <w:tcBorders>
              <w:top w:val="nil"/>
              <w:left w:val="nil"/>
              <w:bottom w:val="nil"/>
              <w:right w:val="nil"/>
            </w:tcBorders>
            <w:shd w:val="clear" w:color="auto" w:fill="auto"/>
            <w:noWrap/>
            <w:vAlign w:val="bottom"/>
            <w:hideMark/>
          </w:tcPr>
          <w:p w14:paraId="69F6292C"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5.01</w:t>
            </w:r>
          </w:p>
        </w:tc>
        <w:tc>
          <w:tcPr>
            <w:tcW w:w="1123" w:type="dxa"/>
            <w:tcBorders>
              <w:top w:val="nil"/>
              <w:left w:val="nil"/>
              <w:bottom w:val="nil"/>
              <w:right w:val="nil"/>
            </w:tcBorders>
            <w:shd w:val="clear" w:color="auto" w:fill="auto"/>
            <w:noWrap/>
            <w:vAlign w:val="bottom"/>
            <w:hideMark/>
          </w:tcPr>
          <w:p w14:paraId="69F6292D"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10.00</w:t>
            </w:r>
          </w:p>
        </w:tc>
        <w:tc>
          <w:tcPr>
            <w:tcW w:w="1353" w:type="dxa"/>
            <w:tcBorders>
              <w:top w:val="nil"/>
              <w:left w:val="nil"/>
              <w:bottom w:val="nil"/>
              <w:right w:val="nil"/>
            </w:tcBorders>
            <w:shd w:val="clear" w:color="auto" w:fill="ACC993"/>
            <w:noWrap/>
            <w:vAlign w:val="bottom"/>
            <w:hideMark/>
          </w:tcPr>
          <w:p w14:paraId="69F6292E"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r w:rsidR="006A04B4" w:rsidRPr="006705A4" w14:paraId="69F62935" w14:textId="77777777" w:rsidTr="006705A4">
        <w:trPr>
          <w:trHeight w:val="300"/>
          <w:jc w:val="center"/>
        </w:trPr>
        <w:tc>
          <w:tcPr>
            <w:tcW w:w="657" w:type="dxa"/>
            <w:tcBorders>
              <w:top w:val="nil"/>
              <w:left w:val="nil"/>
              <w:bottom w:val="nil"/>
              <w:right w:val="nil"/>
            </w:tcBorders>
            <w:shd w:val="clear" w:color="auto" w:fill="auto"/>
            <w:noWrap/>
            <w:vAlign w:val="bottom"/>
            <w:hideMark/>
          </w:tcPr>
          <w:p w14:paraId="69F62930"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3</w:t>
            </w:r>
          </w:p>
        </w:tc>
        <w:tc>
          <w:tcPr>
            <w:tcW w:w="1412" w:type="dxa"/>
            <w:tcBorders>
              <w:top w:val="nil"/>
              <w:left w:val="nil"/>
              <w:bottom w:val="nil"/>
              <w:right w:val="nil"/>
            </w:tcBorders>
            <w:shd w:val="clear" w:color="auto" w:fill="auto"/>
            <w:noWrap/>
            <w:vAlign w:val="bottom"/>
            <w:hideMark/>
          </w:tcPr>
          <w:p w14:paraId="69F62931"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Moderate</w:t>
            </w:r>
          </w:p>
        </w:tc>
        <w:tc>
          <w:tcPr>
            <w:tcW w:w="1198" w:type="dxa"/>
            <w:tcBorders>
              <w:top w:val="nil"/>
              <w:left w:val="nil"/>
              <w:bottom w:val="nil"/>
              <w:right w:val="nil"/>
            </w:tcBorders>
            <w:shd w:val="clear" w:color="auto" w:fill="auto"/>
            <w:noWrap/>
            <w:vAlign w:val="bottom"/>
            <w:hideMark/>
          </w:tcPr>
          <w:p w14:paraId="69F62932"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10.01</w:t>
            </w:r>
          </w:p>
        </w:tc>
        <w:tc>
          <w:tcPr>
            <w:tcW w:w="1123" w:type="dxa"/>
            <w:tcBorders>
              <w:top w:val="nil"/>
              <w:left w:val="nil"/>
              <w:bottom w:val="nil"/>
              <w:right w:val="nil"/>
            </w:tcBorders>
            <w:shd w:val="clear" w:color="auto" w:fill="auto"/>
            <w:noWrap/>
            <w:vAlign w:val="bottom"/>
            <w:hideMark/>
          </w:tcPr>
          <w:p w14:paraId="69F62933"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15.00</w:t>
            </w:r>
          </w:p>
        </w:tc>
        <w:tc>
          <w:tcPr>
            <w:tcW w:w="1353" w:type="dxa"/>
            <w:tcBorders>
              <w:top w:val="nil"/>
              <w:left w:val="nil"/>
              <w:bottom w:val="nil"/>
              <w:right w:val="nil"/>
            </w:tcBorders>
            <w:shd w:val="clear" w:color="auto" w:fill="E3EB75"/>
            <w:noWrap/>
            <w:vAlign w:val="bottom"/>
            <w:hideMark/>
          </w:tcPr>
          <w:p w14:paraId="69F62934"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r w:rsidR="006A04B4" w:rsidRPr="006705A4" w14:paraId="69F6293B" w14:textId="77777777" w:rsidTr="006705A4">
        <w:trPr>
          <w:trHeight w:val="300"/>
          <w:jc w:val="center"/>
        </w:trPr>
        <w:tc>
          <w:tcPr>
            <w:tcW w:w="657" w:type="dxa"/>
            <w:tcBorders>
              <w:top w:val="nil"/>
              <w:left w:val="nil"/>
              <w:bottom w:val="nil"/>
              <w:right w:val="nil"/>
            </w:tcBorders>
            <w:shd w:val="clear" w:color="auto" w:fill="auto"/>
            <w:noWrap/>
            <w:vAlign w:val="bottom"/>
            <w:hideMark/>
          </w:tcPr>
          <w:p w14:paraId="69F62936"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4</w:t>
            </w:r>
          </w:p>
        </w:tc>
        <w:tc>
          <w:tcPr>
            <w:tcW w:w="1412" w:type="dxa"/>
            <w:tcBorders>
              <w:top w:val="nil"/>
              <w:left w:val="nil"/>
              <w:bottom w:val="nil"/>
              <w:right w:val="nil"/>
            </w:tcBorders>
            <w:shd w:val="clear" w:color="auto" w:fill="auto"/>
            <w:noWrap/>
            <w:vAlign w:val="bottom"/>
            <w:hideMark/>
          </w:tcPr>
          <w:p w14:paraId="69F62937"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Good</w:t>
            </w:r>
          </w:p>
        </w:tc>
        <w:tc>
          <w:tcPr>
            <w:tcW w:w="1198" w:type="dxa"/>
            <w:tcBorders>
              <w:top w:val="nil"/>
              <w:left w:val="nil"/>
              <w:bottom w:val="nil"/>
              <w:right w:val="nil"/>
            </w:tcBorders>
            <w:shd w:val="clear" w:color="auto" w:fill="auto"/>
            <w:noWrap/>
            <w:vAlign w:val="bottom"/>
            <w:hideMark/>
          </w:tcPr>
          <w:p w14:paraId="69F62938"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15.01</w:t>
            </w:r>
          </w:p>
        </w:tc>
        <w:tc>
          <w:tcPr>
            <w:tcW w:w="1123" w:type="dxa"/>
            <w:tcBorders>
              <w:top w:val="nil"/>
              <w:left w:val="nil"/>
              <w:bottom w:val="nil"/>
              <w:right w:val="nil"/>
            </w:tcBorders>
            <w:shd w:val="clear" w:color="auto" w:fill="auto"/>
            <w:noWrap/>
            <w:vAlign w:val="bottom"/>
            <w:hideMark/>
          </w:tcPr>
          <w:p w14:paraId="69F62939"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20.00</w:t>
            </w:r>
          </w:p>
        </w:tc>
        <w:tc>
          <w:tcPr>
            <w:tcW w:w="1353" w:type="dxa"/>
            <w:tcBorders>
              <w:top w:val="nil"/>
              <w:left w:val="nil"/>
              <w:bottom w:val="nil"/>
              <w:right w:val="nil"/>
            </w:tcBorders>
            <w:shd w:val="clear" w:color="auto" w:fill="FCDE56"/>
            <w:noWrap/>
            <w:vAlign w:val="bottom"/>
            <w:hideMark/>
          </w:tcPr>
          <w:p w14:paraId="69F6293A"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r w:rsidR="006A04B4" w:rsidRPr="006705A4" w14:paraId="69F62941" w14:textId="77777777" w:rsidTr="006705A4">
        <w:trPr>
          <w:trHeight w:val="300"/>
          <w:jc w:val="center"/>
        </w:trPr>
        <w:tc>
          <w:tcPr>
            <w:tcW w:w="657" w:type="dxa"/>
            <w:tcBorders>
              <w:top w:val="nil"/>
              <w:left w:val="nil"/>
              <w:bottom w:val="nil"/>
              <w:right w:val="nil"/>
            </w:tcBorders>
            <w:shd w:val="clear" w:color="auto" w:fill="auto"/>
            <w:noWrap/>
            <w:vAlign w:val="bottom"/>
            <w:hideMark/>
          </w:tcPr>
          <w:p w14:paraId="69F6293C"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5</w:t>
            </w:r>
          </w:p>
        </w:tc>
        <w:tc>
          <w:tcPr>
            <w:tcW w:w="1412" w:type="dxa"/>
            <w:tcBorders>
              <w:top w:val="nil"/>
              <w:left w:val="nil"/>
              <w:bottom w:val="nil"/>
              <w:right w:val="nil"/>
            </w:tcBorders>
            <w:shd w:val="clear" w:color="auto" w:fill="auto"/>
            <w:noWrap/>
            <w:vAlign w:val="bottom"/>
            <w:hideMark/>
          </w:tcPr>
          <w:p w14:paraId="69F6293D"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Very good</w:t>
            </w:r>
          </w:p>
        </w:tc>
        <w:tc>
          <w:tcPr>
            <w:tcW w:w="1198" w:type="dxa"/>
            <w:tcBorders>
              <w:top w:val="nil"/>
              <w:left w:val="nil"/>
              <w:bottom w:val="nil"/>
              <w:right w:val="nil"/>
            </w:tcBorders>
            <w:shd w:val="clear" w:color="auto" w:fill="auto"/>
            <w:noWrap/>
            <w:vAlign w:val="bottom"/>
            <w:hideMark/>
          </w:tcPr>
          <w:p w14:paraId="69F6293E"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20.01</w:t>
            </w:r>
          </w:p>
        </w:tc>
        <w:tc>
          <w:tcPr>
            <w:tcW w:w="1123" w:type="dxa"/>
            <w:tcBorders>
              <w:top w:val="nil"/>
              <w:left w:val="nil"/>
              <w:bottom w:val="nil"/>
              <w:right w:val="nil"/>
            </w:tcBorders>
            <w:shd w:val="clear" w:color="auto" w:fill="auto"/>
            <w:noWrap/>
            <w:vAlign w:val="bottom"/>
            <w:hideMark/>
          </w:tcPr>
          <w:p w14:paraId="69F6293F"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25.00</w:t>
            </w:r>
          </w:p>
        </w:tc>
        <w:tc>
          <w:tcPr>
            <w:tcW w:w="1353" w:type="dxa"/>
            <w:tcBorders>
              <w:top w:val="nil"/>
              <w:left w:val="nil"/>
              <w:bottom w:val="nil"/>
              <w:right w:val="nil"/>
            </w:tcBorders>
            <w:shd w:val="clear" w:color="auto" w:fill="FCA03D"/>
            <w:noWrap/>
            <w:vAlign w:val="bottom"/>
            <w:hideMark/>
          </w:tcPr>
          <w:p w14:paraId="69F62940"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r w:rsidR="006A04B4" w:rsidRPr="006705A4" w14:paraId="69F62947" w14:textId="77777777" w:rsidTr="006705A4">
        <w:trPr>
          <w:trHeight w:val="300"/>
          <w:jc w:val="center"/>
        </w:trPr>
        <w:tc>
          <w:tcPr>
            <w:tcW w:w="657" w:type="dxa"/>
            <w:tcBorders>
              <w:top w:val="nil"/>
              <w:left w:val="nil"/>
              <w:bottom w:val="nil"/>
              <w:right w:val="nil"/>
            </w:tcBorders>
            <w:shd w:val="clear" w:color="auto" w:fill="auto"/>
            <w:noWrap/>
            <w:vAlign w:val="bottom"/>
            <w:hideMark/>
          </w:tcPr>
          <w:p w14:paraId="69F62942"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6a</w:t>
            </w:r>
          </w:p>
        </w:tc>
        <w:tc>
          <w:tcPr>
            <w:tcW w:w="1412" w:type="dxa"/>
            <w:tcBorders>
              <w:top w:val="nil"/>
              <w:left w:val="nil"/>
              <w:bottom w:val="nil"/>
              <w:right w:val="nil"/>
            </w:tcBorders>
            <w:shd w:val="clear" w:color="auto" w:fill="auto"/>
            <w:noWrap/>
            <w:vAlign w:val="bottom"/>
            <w:hideMark/>
          </w:tcPr>
          <w:p w14:paraId="69F62943"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Excellent</w:t>
            </w:r>
          </w:p>
        </w:tc>
        <w:tc>
          <w:tcPr>
            <w:tcW w:w="1198" w:type="dxa"/>
            <w:tcBorders>
              <w:top w:val="nil"/>
              <w:left w:val="nil"/>
              <w:bottom w:val="nil"/>
              <w:right w:val="nil"/>
            </w:tcBorders>
            <w:shd w:val="clear" w:color="auto" w:fill="auto"/>
            <w:noWrap/>
            <w:vAlign w:val="bottom"/>
            <w:hideMark/>
          </w:tcPr>
          <w:p w14:paraId="69F62944"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25.01</w:t>
            </w:r>
          </w:p>
        </w:tc>
        <w:tc>
          <w:tcPr>
            <w:tcW w:w="1123" w:type="dxa"/>
            <w:tcBorders>
              <w:top w:val="nil"/>
              <w:left w:val="nil"/>
              <w:bottom w:val="nil"/>
              <w:right w:val="nil"/>
            </w:tcBorders>
            <w:shd w:val="clear" w:color="auto" w:fill="auto"/>
            <w:noWrap/>
            <w:vAlign w:val="bottom"/>
            <w:hideMark/>
          </w:tcPr>
          <w:p w14:paraId="69F62945"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40.00</w:t>
            </w:r>
          </w:p>
        </w:tc>
        <w:tc>
          <w:tcPr>
            <w:tcW w:w="1353" w:type="dxa"/>
            <w:tcBorders>
              <w:top w:val="nil"/>
              <w:left w:val="nil"/>
              <w:bottom w:val="nil"/>
              <w:right w:val="nil"/>
            </w:tcBorders>
            <w:shd w:val="clear" w:color="auto" w:fill="F56325"/>
            <w:noWrap/>
            <w:vAlign w:val="bottom"/>
            <w:hideMark/>
          </w:tcPr>
          <w:p w14:paraId="69F62946"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r w:rsidR="006A04B4" w:rsidRPr="006705A4" w14:paraId="69F6294D" w14:textId="77777777" w:rsidTr="006705A4">
        <w:trPr>
          <w:trHeight w:val="300"/>
          <w:jc w:val="center"/>
        </w:trPr>
        <w:tc>
          <w:tcPr>
            <w:tcW w:w="657" w:type="dxa"/>
            <w:tcBorders>
              <w:top w:val="nil"/>
              <w:left w:val="nil"/>
              <w:bottom w:val="single" w:sz="4" w:space="0" w:color="auto"/>
              <w:right w:val="nil"/>
            </w:tcBorders>
            <w:shd w:val="clear" w:color="auto" w:fill="auto"/>
            <w:noWrap/>
            <w:vAlign w:val="bottom"/>
            <w:hideMark/>
          </w:tcPr>
          <w:p w14:paraId="69F62948" w14:textId="77777777" w:rsidR="006A04B4" w:rsidRPr="006705A4" w:rsidRDefault="006A04B4"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6b</w:t>
            </w:r>
          </w:p>
        </w:tc>
        <w:tc>
          <w:tcPr>
            <w:tcW w:w="1412" w:type="dxa"/>
            <w:tcBorders>
              <w:top w:val="nil"/>
              <w:left w:val="nil"/>
              <w:bottom w:val="single" w:sz="4" w:space="0" w:color="auto"/>
              <w:right w:val="nil"/>
            </w:tcBorders>
            <w:shd w:val="clear" w:color="auto" w:fill="auto"/>
            <w:noWrap/>
            <w:vAlign w:val="bottom"/>
            <w:hideMark/>
          </w:tcPr>
          <w:p w14:paraId="69F62949"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Excellent</w:t>
            </w:r>
          </w:p>
        </w:tc>
        <w:tc>
          <w:tcPr>
            <w:tcW w:w="1198" w:type="dxa"/>
            <w:tcBorders>
              <w:top w:val="nil"/>
              <w:left w:val="nil"/>
              <w:bottom w:val="single" w:sz="4" w:space="0" w:color="auto"/>
              <w:right w:val="nil"/>
            </w:tcBorders>
            <w:shd w:val="clear" w:color="auto" w:fill="auto"/>
            <w:noWrap/>
            <w:vAlign w:val="bottom"/>
            <w:hideMark/>
          </w:tcPr>
          <w:p w14:paraId="69F6294A" w14:textId="77777777" w:rsidR="006A04B4" w:rsidRPr="006705A4" w:rsidRDefault="006A04B4"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40.01</w:t>
            </w:r>
          </w:p>
        </w:tc>
        <w:tc>
          <w:tcPr>
            <w:tcW w:w="1123" w:type="dxa"/>
            <w:tcBorders>
              <w:top w:val="nil"/>
              <w:left w:val="nil"/>
              <w:bottom w:val="single" w:sz="4" w:space="0" w:color="auto"/>
              <w:right w:val="nil"/>
            </w:tcBorders>
            <w:shd w:val="clear" w:color="auto" w:fill="auto"/>
            <w:noWrap/>
            <w:vAlign w:val="bottom"/>
            <w:hideMark/>
          </w:tcPr>
          <w:p w14:paraId="69F6294B"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353" w:type="dxa"/>
            <w:tcBorders>
              <w:top w:val="nil"/>
              <w:left w:val="nil"/>
              <w:bottom w:val="single" w:sz="4" w:space="0" w:color="auto"/>
              <w:right w:val="nil"/>
            </w:tcBorders>
            <w:shd w:val="clear" w:color="auto" w:fill="E81014"/>
            <w:noWrap/>
            <w:vAlign w:val="bottom"/>
            <w:hideMark/>
          </w:tcPr>
          <w:p w14:paraId="69F6294C" w14:textId="77777777" w:rsidR="006A04B4" w:rsidRPr="006705A4" w:rsidRDefault="006A04B4"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bl>
    <w:p w14:paraId="69F6294E" w14:textId="77777777" w:rsidR="006A04B4" w:rsidRDefault="006A04B4" w:rsidP="006705A4">
      <w:pPr>
        <w:jc w:val="center"/>
        <w:rPr>
          <w:rFonts w:eastAsia="Times New Roman" w:cs="Arial"/>
          <w:color w:val="000000"/>
          <w:lang w:val="en-US"/>
        </w:rPr>
      </w:pPr>
      <w:r>
        <w:rPr>
          <w:rFonts w:eastAsia="Times New Roman" w:cs="Arial"/>
          <w:color w:val="000000"/>
          <w:lang w:val="en-US"/>
        </w:rPr>
        <w:t>Source: TfL 2010 and 2015.</w:t>
      </w:r>
    </w:p>
    <w:p w14:paraId="69F6294F" w14:textId="77777777" w:rsidR="006A04B4" w:rsidRDefault="00D50D5F" w:rsidP="00B82544">
      <w:pPr>
        <w:rPr>
          <w:rFonts w:eastAsia="Times New Roman" w:cs="Arial"/>
          <w:color w:val="000000"/>
          <w:lang w:val="en-US"/>
        </w:rPr>
      </w:pPr>
      <w:r>
        <w:rPr>
          <w:rFonts w:eastAsia="Times New Roman" w:cs="Arial"/>
          <w:color w:val="000000"/>
          <w:lang w:val="en-US"/>
        </w:rPr>
        <w:t>The PTAL methodology allows for differences in the parameters used in calculating the PTAL values. Within NSW the parameters used are shown in Tables 2 and 3.</w:t>
      </w:r>
    </w:p>
    <w:p w14:paraId="69F62950" w14:textId="77777777" w:rsidR="00D50D5F" w:rsidRPr="006705A4" w:rsidRDefault="00D50D5F" w:rsidP="006705A4">
      <w:pPr>
        <w:spacing w:after="0"/>
        <w:jc w:val="center"/>
        <w:rPr>
          <w:rFonts w:eastAsia="Times New Roman" w:cs="Arial"/>
          <w:b/>
          <w:color w:val="000000"/>
          <w:lang w:val="en-US"/>
        </w:rPr>
      </w:pPr>
      <w:r w:rsidRPr="006705A4">
        <w:rPr>
          <w:rFonts w:eastAsia="Times New Roman" w:cs="Arial"/>
          <w:b/>
          <w:color w:val="000000"/>
          <w:lang w:val="en-US"/>
        </w:rPr>
        <w:t xml:space="preserve">Table 2: Parameters for </w:t>
      </w:r>
      <w:r w:rsidR="006705A4">
        <w:rPr>
          <w:rFonts w:eastAsia="Times New Roman" w:cs="Arial"/>
          <w:b/>
          <w:color w:val="000000"/>
          <w:lang w:val="en-US"/>
        </w:rPr>
        <w:t>calculating PTAL values for NSW</w:t>
      </w:r>
    </w:p>
    <w:tbl>
      <w:tblPr>
        <w:tblW w:w="6946" w:type="dxa"/>
        <w:jc w:val="center"/>
        <w:tblLook w:val="04A0" w:firstRow="1" w:lastRow="0" w:firstColumn="1" w:lastColumn="0" w:noHBand="0" w:noVBand="1"/>
      </w:tblPr>
      <w:tblGrid>
        <w:gridCol w:w="5196"/>
        <w:gridCol w:w="1750"/>
      </w:tblGrid>
      <w:tr w:rsidR="00D50D5F" w:rsidRPr="006705A4" w14:paraId="69F62953" w14:textId="77777777" w:rsidTr="006705A4">
        <w:trPr>
          <w:trHeight w:val="300"/>
          <w:jc w:val="center"/>
        </w:trPr>
        <w:tc>
          <w:tcPr>
            <w:tcW w:w="5196" w:type="dxa"/>
            <w:tcBorders>
              <w:top w:val="single" w:sz="4" w:space="0" w:color="auto"/>
              <w:left w:val="nil"/>
              <w:bottom w:val="single" w:sz="4" w:space="0" w:color="auto"/>
              <w:right w:val="nil"/>
            </w:tcBorders>
            <w:shd w:val="clear" w:color="auto" w:fill="auto"/>
            <w:noWrap/>
            <w:vAlign w:val="bottom"/>
            <w:hideMark/>
          </w:tcPr>
          <w:p w14:paraId="69F62951" w14:textId="77777777" w:rsidR="00D50D5F" w:rsidRPr="006705A4" w:rsidRDefault="00D50D5F"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Parameter</w:t>
            </w:r>
          </w:p>
        </w:tc>
        <w:tc>
          <w:tcPr>
            <w:tcW w:w="1750" w:type="dxa"/>
            <w:tcBorders>
              <w:top w:val="single" w:sz="4" w:space="0" w:color="auto"/>
              <w:left w:val="nil"/>
              <w:bottom w:val="single" w:sz="4" w:space="0" w:color="auto"/>
              <w:right w:val="nil"/>
            </w:tcBorders>
            <w:shd w:val="clear" w:color="auto" w:fill="auto"/>
            <w:noWrap/>
            <w:vAlign w:val="bottom"/>
            <w:hideMark/>
          </w:tcPr>
          <w:p w14:paraId="69F62952" w14:textId="77777777" w:rsidR="00D50D5F" w:rsidRPr="006705A4" w:rsidRDefault="00D50D5F" w:rsidP="00F10FAA">
            <w:pPr>
              <w:spacing w:after="0" w:line="240" w:lineRule="auto"/>
              <w:jc w:val="center"/>
              <w:rPr>
                <w:rFonts w:eastAsia="Times New Roman" w:cs="Arial"/>
                <w:color w:val="000000"/>
                <w:sz w:val="20"/>
                <w:szCs w:val="20"/>
                <w:lang w:eastAsia="en-AU"/>
              </w:rPr>
            </w:pPr>
            <w:r w:rsidRPr="006705A4">
              <w:rPr>
                <w:rFonts w:eastAsia="Times New Roman" w:cs="Arial"/>
                <w:color w:val="000000"/>
                <w:sz w:val="20"/>
                <w:szCs w:val="20"/>
                <w:lang w:eastAsia="en-AU"/>
              </w:rPr>
              <w:t>Value</w:t>
            </w:r>
          </w:p>
        </w:tc>
      </w:tr>
      <w:tr w:rsidR="00D50D5F" w:rsidRPr="006705A4" w14:paraId="69F62956" w14:textId="77777777" w:rsidTr="006705A4">
        <w:trPr>
          <w:trHeight w:val="300"/>
          <w:jc w:val="center"/>
        </w:trPr>
        <w:tc>
          <w:tcPr>
            <w:tcW w:w="5196" w:type="dxa"/>
            <w:tcBorders>
              <w:top w:val="single" w:sz="4" w:space="0" w:color="auto"/>
              <w:left w:val="nil"/>
              <w:bottom w:val="nil"/>
              <w:right w:val="nil"/>
            </w:tcBorders>
            <w:shd w:val="clear" w:color="auto" w:fill="auto"/>
            <w:noWrap/>
            <w:vAlign w:val="bottom"/>
            <w:hideMark/>
          </w:tcPr>
          <w:p w14:paraId="69F62954" w14:textId="77777777" w:rsidR="00D50D5F" w:rsidRPr="006705A4" w:rsidRDefault="00D50D5F" w:rsidP="00F10FA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Walk speed</w:t>
            </w:r>
          </w:p>
        </w:tc>
        <w:tc>
          <w:tcPr>
            <w:tcW w:w="1750" w:type="dxa"/>
            <w:tcBorders>
              <w:top w:val="single" w:sz="4" w:space="0" w:color="auto"/>
              <w:left w:val="nil"/>
              <w:bottom w:val="nil"/>
              <w:right w:val="nil"/>
            </w:tcBorders>
            <w:shd w:val="clear" w:color="auto" w:fill="auto"/>
            <w:noWrap/>
            <w:vAlign w:val="bottom"/>
            <w:hideMark/>
          </w:tcPr>
          <w:p w14:paraId="69F62955" w14:textId="77777777" w:rsidR="00D50D5F" w:rsidRPr="006705A4" w:rsidRDefault="00D50D5F"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4 km/h</w:t>
            </w:r>
          </w:p>
        </w:tc>
      </w:tr>
      <w:tr w:rsidR="00D50D5F" w:rsidRPr="006705A4" w14:paraId="69F62959" w14:textId="77777777" w:rsidTr="006705A4">
        <w:trPr>
          <w:trHeight w:val="300"/>
          <w:jc w:val="center"/>
        </w:trPr>
        <w:tc>
          <w:tcPr>
            <w:tcW w:w="5196" w:type="dxa"/>
            <w:tcBorders>
              <w:top w:val="nil"/>
              <w:left w:val="nil"/>
              <w:bottom w:val="nil"/>
              <w:right w:val="nil"/>
            </w:tcBorders>
            <w:shd w:val="clear" w:color="auto" w:fill="auto"/>
            <w:noWrap/>
            <w:vAlign w:val="bottom"/>
            <w:hideMark/>
          </w:tcPr>
          <w:p w14:paraId="69F62957" w14:textId="77777777" w:rsidR="00D50D5F" w:rsidRPr="006705A4" w:rsidRDefault="00D50D5F" w:rsidP="00D50D5F">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Maximum walk distance for bus</w:t>
            </w:r>
          </w:p>
        </w:tc>
        <w:tc>
          <w:tcPr>
            <w:tcW w:w="1750" w:type="dxa"/>
            <w:tcBorders>
              <w:top w:val="nil"/>
              <w:left w:val="nil"/>
              <w:bottom w:val="nil"/>
              <w:right w:val="nil"/>
            </w:tcBorders>
            <w:shd w:val="clear" w:color="auto" w:fill="auto"/>
            <w:noWrap/>
            <w:vAlign w:val="bottom"/>
            <w:hideMark/>
          </w:tcPr>
          <w:p w14:paraId="69F62958" w14:textId="77777777" w:rsidR="00D50D5F" w:rsidRPr="006705A4" w:rsidRDefault="00D50D5F"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400 m</w:t>
            </w:r>
          </w:p>
        </w:tc>
      </w:tr>
      <w:tr w:rsidR="00D50D5F" w:rsidRPr="006705A4" w14:paraId="69F6295C" w14:textId="77777777" w:rsidTr="006705A4">
        <w:trPr>
          <w:trHeight w:val="300"/>
          <w:jc w:val="center"/>
        </w:trPr>
        <w:tc>
          <w:tcPr>
            <w:tcW w:w="5196" w:type="dxa"/>
            <w:tcBorders>
              <w:top w:val="nil"/>
              <w:left w:val="nil"/>
              <w:bottom w:val="single" w:sz="4" w:space="0" w:color="auto"/>
              <w:right w:val="nil"/>
            </w:tcBorders>
            <w:shd w:val="clear" w:color="auto" w:fill="auto"/>
            <w:noWrap/>
            <w:vAlign w:val="bottom"/>
            <w:hideMark/>
          </w:tcPr>
          <w:p w14:paraId="69F6295A" w14:textId="77777777" w:rsidR="00D50D5F" w:rsidRPr="006705A4" w:rsidRDefault="00D50D5F" w:rsidP="00D50D5F">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Maximum walk distance for railway, ferry and light rail</w:t>
            </w:r>
          </w:p>
        </w:tc>
        <w:tc>
          <w:tcPr>
            <w:tcW w:w="1750" w:type="dxa"/>
            <w:tcBorders>
              <w:top w:val="nil"/>
              <w:left w:val="nil"/>
              <w:bottom w:val="single" w:sz="4" w:space="0" w:color="auto"/>
              <w:right w:val="nil"/>
            </w:tcBorders>
            <w:shd w:val="clear" w:color="auto" w:fill="auto"/>
            <w:noWrap/>
            <w:vAlign w:val="bottom"/>
            <w:hideMark/>
          </w:tcPr>
          <w:p w14:paraId="69F6295B" w14:textId="77777777" w:rsidR="00D50D5F" w:rsidRPr="006705A4" w:rsidRDefault="00D50D5F" w:rsidP="00F10FAA">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800 m</w:t>
            </w:r>
          </w:p>
        </w:tc>
      </w:tr>
    </w:tbl>
    <w:p w14:paraId="69F6295D" w14:textId="77777777" w:rsidR="00D50D5F" w:rsidRDefault="00D50D5F" w:rsidP="006705A4">
      <w:pPr>
        <w:jc w:val="center"/>
        <w:rPr>
          <w:rFonts w:eastAsia="Times New Roman" w:cs="Arial"/>
          <w:color w:val="000000"/>
          <w:lang w:val="en-US"/>
        </w:rPr>
      </w:pPr>
      <w:r>
        <w:rPr>
          <w:rFonts w:eastAsia="Times New Roman" w:cs="Arial"/>
          <w:color w:val="000000"/>
          <w:lang w:val="en-US"/>
        </w:rPr>
        <w:t>Source: Transport for NSW 2015</w:t>
      </w:r>
    </w:p>
    <w:p w14:paraId="69F6295E" w14:textId="77777777" w:rsidR="00D50D5F" w:rsidRPr="006705A4" w:rsidRDefault="00D50D5F" w:rsidP="006705A4">
      <w:pPr>
        <w:spacing w:after="0"/>
        <w:jc w:val="center"/>
        <w:rPr>
          <w:rFonts w:eastAsia="Times New Roman" w:cs="Arial"/>
          <w:b/>
          <w:color w:val="000000"/>
          <w:lang w:val="en-US"/>
        </w:rPr>
      </w:pPr>
      <w:r w:rsidRPr="006705A4">
        <w:rPr>
          <w:rFonts w:eastAsia="Times New Roman" w:cs="Arial"/>
          <w:b/>
          <w:color w:val="000000"/>
          <w:lang w:val="en-US"/>
        </w:rPr>
        <w:t>Table 3: Reliability penalty</w:t>
      </w:r>
    </w:p>
    <w:tbl>
      <w:tblPr>
        <w:tblW w:w="6871" w:type="dxa"/>
        <w:jc w:val="center"/>
        <w:tblLook w:val="04A0" w:firstRow="1" w:lastRow="0" w:firstColumn="1" w:lastColumn="0" w:noHBand="0" w:noVBand="1"/>
      </w:tblPr>
      <w:tblGrid>
        <w:gridCol w:w="4972"/>
        <w:gridCol w:w="1899"/>
      </w:tblGrid>
      <w:tr w:rsidR="00D50D5F" w:rsidRPr="00D444DD" w14:paraId="69F62961" w14:textId="77777777" w:rsidTr="006705A4">
        <w:trPr>
          <w:trHeight w:val="300"/>
          <w:jc w:val="center"/>
        </w:trPr>
        <w:tc>
          <w:tcPr>
            <w:tcW w:w="4972" w:type="dxa"/>
            <w:tcBorders>
              <w:top w:val="single" w:sz="4" w:space="0" w:color="auto"/>
              <w:left w:val="nil"/>
              <w:bottom w:val="single" w:sz="4" w:space="0" w:color="auto"/>
              <w:right w:val="nil"/>
            </w:tcBorders>
            <w:shd w:val="clear" w:color="auto" w:fill="auto"/>
            <w:noWrap/>
            <w:vAlign w:val="bottom"/>
            <w:hideMark/>
          </w:tcPr>
          <w:p w14:paraId="69F6295F" w14:textId="77777777" w:rsidR="00D50D5F" w:rsidRPr="00D444DD" w:rsidRDefault="00D50D5F" w:rsidP="00F10FAA">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Mode</w:t>
            </w:r>
          </w:p>
        </w:tc>
        <w:tc>
          <w:tcPr>
            <w:tcW w:w="1899" w:type="dxa"/>
            <w:tcBorders>
              <w:top w:val="single" w:sz="4" w:space="0" w:color="auto"/>
              <w:left w:val="nil"/>
              <w:bottom w:val="single" w:sz="4" w:space="0" w:color="auto"/>
              <w:right w:val="nil"/>
            </w:tcBorders>
            <w:shd w:val="clear" w:color="auto" w:fill="auto"/>
            <w:noWrap/>
            <w:vAlign w:val="bottom"/>
            <w:hideMark/>
          </w:tcPr>
          <w:p w14:paraId="69F62960" w14:textId="77777777" w:rsidR="00D50D5F" w:rsidRPr="00D444DD" w:rsidRDefault="00D50D5F" w:rsidP="00F10FAA">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Penalty (seconds)</w:t>
            </w:r>
          </w:p>
        </w:tc>
      </w:tr>
      <w:tr w:rsidR="00D50D5F" w:rsidRPr="00D444DD" w14:paraId="69F62964" w14:textId="77777777" w:rsidTr="006705A4">
        <w:trPr>
          <w:trHeight w:val="300"/>
          <w:jc w:val="center"/>
        </w:trPr>
        <w:tc>
          <w:tcPr>
            <w:tcW w:w="4972" w:type="dxa"/>
            <w:tcBorders>
              <w:top w:val="single" w:sz="4" w:space="0" w:color="auto"/>
              <w:left w:val="nil"/>
              <w:bottom w:val="nil"/>
              <w:right w:val="nil"/>
            </w:tcBorders>
            <w:shd w:val="clear" w:color="auto" w:fill="auto"/>
            <w:noWrap/>
            <w:vAlign w:val="bottom"/>
            <w:hideMark/>
          </w:tcPr>
          <w:p w14:paraId="69F62962" w14:textId="77777777" w:rsidR="00D50D5F" w:rsidRPr="00D444DD" w:rsidRDefault="00D50D5F" w:rsidP="00F10FAA">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Transitway and Metrobus routes</w:t>
            </w:r>
          </w:p>
        </w:tc>
        <w:tc>
          <w:tcPr>
            <w:tcW w:w="1899" w:type="dxa"/>
            <w:tcBorders>
              <w:top w:val="single" w:sz="4" w:space="0" w:color="auto"/>
              <w:left w:val="nil"/>
              <w:bottom w:val="nil"/>
              <w:right w:val="nil"/>
            </w:tcBorders>
            <w:shd w:val="clear" w:color="auto" w:fill="auto"/>
            <w:noWrap/>
            <w:vAlign w:val="bottom"/>
            <w:hideMark/>
          </w:tcPr>
          <w:p w14:paraId="69F62963" w14:textId="77777777" w:rsidR="00D50D5F" w:rsidRPr="00D444DD" w:rsidRDefault="00D50D5F" w:rsidP="00F10FAA">
            <w:pPr>
              <w:spacing w:after="0" w:line="240" w:lineRule="auto"/>
              <w:jc w:val="right"/>
              <w:rPr>
                <w:rFonts w:ascii="Calibri" w:eastAsia="Times New Roman" w:hAnsi="Calibri" w:cs="Times New Roman"/>
                <w:color w:val="000000"/>
                <w:lang w:eastAsia="en-AU"/>
              </w:rPr>
            </w:pPr>
            <w:r>
              <w:rPr>
                <w:rFonts w:ascii="Calibri" w:eastAsia="Times New Roman" w:hAnsi="Calibri" w:cs="Times New Roman"/>
                <w:color w:val="000000"/>
                <w:lang w:eastAsia="en-AU"/>
              </w:rPr>
              <w:t>30</w:t>
            </w:r>
          </w:p>
        </w:tc>
      </w:tr>
      <w:tr w:rsidR="00D50D5F" w:rsidRPr="00D444DD" w14:paraId="69F62967" w14:textId="77777777" w:rsidTr="006705A4">
        <w:trPr>
          <w:trHeight w:val="300"/>
          <w:jc w:val="center"/>
        </w:trPr>
        <w:tc>
          <w:tcPr>
            <w:tcW w:w="4972" w:type="dxa"/>
            <w:tcBorders>
              <w:top w:val="nil"/>
              <w:left w:val="nil"/>
              <w:bottom w:val="nil"/>
              <w:right w:val="nil"/>
            </w:tcBorders>
            <w:shd w:val="clear" w:color="auto" w:fill="auto"/>
            <w:noWrap/>
            <w:vAlign w:val="bottom"/>
          </w:tcPr>
          <w:p w14:paraId="69F62965" w14:textId="77777777" w:rsidR="00D50D5F" w:rsidRDefault="00D50D5F" w:rsidP="00F10FAA">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Other bus routes</w:t>
            </w:r>
          </w:p>
        </w:tc>
        <w:tc>
          <w:tcPr>
            <w:tcW w:w="1899" w:type="dxa"/>
            <w:tcBorders>
              <w:top w:val="nil"/>
              <w:left w:val="nil"/>
              <w:bottom w:val="nil"/>
              <w:right w:val="nil"/>
            </w:tcBorders>
            <w:shd w:val="clear" w:color="auto" w:fill="auto"/>
            <w:noWrap/>
            <w:vAlign w:val="bottom"/>
          </w:tcPr>
          <w:p w14:paraId="69F62966" w14:textId="77777777" w:rsidR="00D50D5F" w:rsidRDefault="00D50D5F" w:rsidP="00F10FAA">
            <w:pPr>
              <w:spacing w:after="0" w:line="240" w:lineRule="auto"/>
              <w:jc w:val="right"/>
              <w:rPr>
                <w:rFonts w:ascii="Calibri" w:eastAsia="Times New Roman" w:hAnsi="Calibri" w:cs="Times New Roman"/>
                <w:color w:val="000000"/>
                <w:lang w:eastAsia="en-AU"/>
              </w:rPr>
            </w:pPr>
            <w:r>
              <w:rPr>
                <w:rFonts w:ascii="Calibri" w:eastAsia="Times New Roman" w:hAnsi="Calibri" w:cs="Times New Roman"/>
                <w:color w:val="000000"/>
                <w:lang w:eastAsia="en-AU"/>
              </w:rPr>
              <w:t>157</w:t>
            </w:r>
          </w:p>
        </w:tc>
      </w:tr>
      <w:tr w:rsidR="00D50D5F" w:rsidRPr="00D444DD" w14:paraId="69F6296A" w14:textId="77777777" w:rsidTr="006705A4">
        <w:trPr>
          <w:trHeight w:val="300"/>
          <w:jc w:val="center"/>
        </w:trPr>
        <w:tc>
          <w:tcPr>
            <w:tcW w:w="4972" w:type="dxa"/>
            <w:tcBorders>
              <w:top w:val="nil"/>
              <w:left w:val="nil"/>
              <w:bottom w:val="nil"/>
              <w:right w:val="nil"/>
            </w:tcBorders>
            <w:shd w:val="clear" w:color="auto" w:fill="auto"/>
            <w:noWrap/>
            <w:vAlign w:val="bottom"/>
          </w:tcPr>
          <w:p w14:paraId="69F62968" w14:textId="77777777" w:rsidR="00D50D5F" w:rsidRDefault="00D50D5F" w:rsidP="00F10FAA">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Railway</w:t>
            </w:r>
          </w:p>
        </w:tc>
        <w:tc>
          <w:tcPr>
            <w:tcW w:w="1899" w:type="dxa"/>
            <w:tcBorders>
              <w:top w:val="nil"/>
              <w:left w:val="nil"/>
              <w:bottom w:val="nil"/>
              <w:right w:val="nil"/>
            </w:tcBorders>
            <w:shd w:val="clear" w:color="auto" w:fill="auto"/>
            <w:noWrap/>
            <w:vAlign w:val="bottom"/>
          </w:tcPr>
          <w:p w14:paraId="69F62969" w14:textId="77777777" w:rsidR="00D50D5F" w:rsidRDefault="00D50D5F" w:rsidP="00F10FAA">
            <w:pPr>
              <w:spacing w:after="0" w:line="240" w:lineRule="auto"/>
              <w:jc w:val="right"/>
              <w:rPr>
                <w:rFonts w:ascii="Calibri" w:eastAsia="Times New Roman" w:hAnsi="Calibri" w:cs="Times New Roman"/>
                <w:color w:val="000000"/>
                <w:lang w:eastAsia="en-AU"/>
              </w:rPr>
            </w:pPr>
            <w:r>
              <w:rPr>
                <w:rFonts w:ascii="Calibri" w:eastAsia="Times New Roman" w:hAnsi="Calibri" w:cs="Times New Roman"/>
                <w:color w:val="000000"/>
                <w:lang w:eastAsia="en-AU"/>
              </w:rPr>
              <w:t>30</w:t>
            </w:r>
          </w:p>
        </w:tc>
      </w:tr>
      <w:tr w:rsidR="00D50D5F" w:rsidRPr="00D444DD" w14:paraId="69F6296D" w14:textId="77777777" w:rsidTr="006705A4">
        <w:trPr>
          <w:trHeight w:val="300"/>
          <w:jc w:val="center"/>
        </w:trPr>
        <w:tc>
          <w:tcPr>
            <w:tcW w:w="4972" w:type="dxa"/>
            <w:tcBorders>
              <w:top w:val="nil"/>
              <w:left w:val="nil"/>
              <w:bottom w:val="nil"/>
              <w:right w:val="nil"/>
            </w:tcBorders>
            <w:shd w:val="clear" w:color="auto" w:fill="auto"/>
            <w:noWrap/>
            <w:vAlign w:val="bottom"/>
          </w:tcPr>
          <w:p w14:paraId="69F6296B" w14:textId="77777777" w:rsidR="00D50D5F" w:rsidRDefault="00D50D5F" w:rsidP="00F10FAA">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Ferry</w:t>
            </w:r>
          </w:p>
        </w:tc>
        <w:tc>
          <w:tcPr>
            <w:tcW w:w="1899" w:type="dxa"/>
            <w:tcBorders>
              <w:top w:val="nil"/>
              <w:left w:val="nil"/>
              <w:bottom w:val="nil"/>
              <w:right w:val="nil"/>
            </w:tcBorders>
            <w:shd w:val="clear" w:color="auto" w:fill="auto"/>
            <w:noWrap/>
            <w:vAlign w:val="bottom"/>
          </w:tcPr>
          <w:p w14:paraId="69F6296C" w14:textId="77777777" w:rsidR="00D50D5F" w:rsidRDefault="00D50D5F" w:rsidP="00F10FAA">
            <w:pPr>
              <w:spacing w:after="0" w:line="240" w:lineRule="auto"/>
              <w:jc w:val="right"/>
              <w:rPr>
                <w:rFonts w:ascii="Calibri" w:eastAsia="Times New Roman" w:hAnsi="Calibri" w:cs="Times New Roman"/>
                <w:color w:val="000000"/>
                <w:lang w:eastAsia="en-AU"/>
              </w:rPr>
            </w:pPr>
            <w:r>
              <w:rPr>
                <w:rFonts w:ascii="Calibri" w:eastAsia="Times New Roman" w:hAnsi="Calibri" w:cs="Times New Roman"/>
                <w:color w:val="000000"/>
                <w:lang w:eastAsia="en-AU"/>
              </w:rPr>
              <w:t>88</w:t>
            </w:r>
          </w:p>
        </w:tc>
      </w:tr>
      <w:tr w:rsidR="00D50D5F" w:rsidRPr="00D444DD" w14:paraId="69F62970" w14:textId="77777777" w:rsidTr="006705A4">
        <w:trPr>
          <w:trHeight w:val="300"/>
          <w:jc w:val="center"/>
        </w:trPr>
        <w:tc>
          <w:tcPr>
            <w:tcW w:w="4972" w:type="dxa"/>
            <w:tcBorders>
              <w:top w:val="nil"/>
              <w:left w:val="nil"/>
              <w:bottom w:val="single" w:sz="4" w:space="0" w:color="auto"/>
              <w:right w:val="nil"/>
            </w:tcBorders>
            <w:shd w:val="clear" w:color="auto" w:fill="auto"/>
            <w:noWrap/>
            <w:vAlign w:val="bottom"/>
            <w:hideMark/>
          </w:tcPr>
          <w:p w14:paraId="69F6296E" w14:textId="77777777" w:rsidR="00D50D5F" w:rsidRPr="00D444DD" w:rsidRDefault="00D50D5F" w:rsidP="00F10FAA">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Light rail</w:t>
            </w:r>
          </w:p>
        </w:tc>
        <w:tc>
          <w:tcPr>
            <w:tcW w:w="1899" w:type="dxa"/>
            <w:tcBorders>
              <w:top w:val="nil"/>
              <w:left w:val="nil"/>
              <w:bottom w:val="single" w:sz="4" w:space="0" w:color="auto"/>
              <w:right w:val="nil"/>
            </w:tcBorders>
            <w:shd w:val="clear" w:color="auto" w:fill="auto"/>
            <w:noWrap/>
            <w:vAlign w:val="bottom"/>
            <w:hideMark/>
          </w:tcPr>
          <w:p w14:paraId="69F6296F" w14:textId="77777777" w:rsidR="00D50D5F" w:rsidRPr="00D444DD" w:rsidRDefault="00D50D5F" w:rsidP="00F10FAA">
            <w:pPr>
              <w:spacing w:after="0" w:line="240" w:lineRule="auto"/>
              <w:jc w:val="right"/>
              <w:rPr>
                <w:rFonts w:ascii="Calibri" w:eastAsia="Times New Roman" w:hAnsi="Calibri" w:cs="Times New Roman"/>
                <w:color w:val="000000"/>
                <w:lang w:eastAsia="en-AU"/>
              </w:rPr>
            </w:pPr>
            <w:r>
              <w:rPr>
                <w:rFonts w:ascii="Calibri" w:eastAsia="Times New Roman" w:hAnsi="Calibri" w:cs="Times New Roman"/>
                <w:color w:val="000000"/>
                <w:lang w:eastAsia="en-AU"/>
              </w:rPr>
              <w:t>30</w:t>
            </w:r>
          </w:p>
        </w:tc>
      </w:tr>
    </w:tbl>
    <w:p w14:paraId="69F62971" w14:textId="54EE467D" w:rsidR="0017456C" w:rsidRDefault="003073CD" w:rsidP="00181C01">
      <w:pPr>
        <w:spacing w:before="120"/>
        <w:rPr>
          <w:rFonts w:eastAsia="Times New Roman" w:cs="Arial"/>
          <w:color w:val="000000"/>
          <w:lang w:val="en-US"/>
        </w:rPr>
      </w:pPr>
      <w:r>
        <w:rPr>
          <w:rFonts w:eastAsia="Times New Roman" w:cs="Arial"/>
          <w:color w:val="000000"/>
          <w:lang w:val="en-US"/>
        </w:rPr>
        <w:t>The methodology can be criticised for</w:t>
      </w:r>
      <w:r w:rsidR="006A04B4">
        <w:rPr>
          <w:rFonts w:eastAsia="Times New Roman" w:cs="Arial"/>
          <w:color w:val="000000"/>
          <w:lang w:val="en-US"/>
        </w:rPr>
        <w:t xml:space="preserve"> applying the same weighting to walking time, waiting time and unexpected waiting time</w:t>
      </w:r>
      <w:r w:rsidR="00C53117">
        <w:rPr>
          <w:rFonts w:eastAsia="Times New Roman" w:cs="Arial"/>
          <w:color w:val="000000"/>
          <w:lang w:val="en-US"/>
        </w:rPr>
        <w:t xml:space="preserve"> when users display different valuations of time for these activities</w:t>
      </w:r>
      <w:r w:rsidR="006A04B4">
        <w:rPr>
          <w:rFonts w:eastAsia="Times New Roman" w:cs="Arial"/>
          <w:color w:val="000000"/>
          <w:lang w:val="en-US"/>
        </w:rPr>
        <w:t>. The methodology can also be criticised for</w:t>
      </w:r>
      <w:r>
        <w:rPr>
          <w:rFonts w:eastAsia="Times New Roman" w:cs="Arial"/>
          <w:color w:val="000000"/>
          <w:lang w:val="en-US"/>
        </w:rPr>
        <w:t xml:space="preserve"> ignoring differences in the </w:t>
      </w:r>
      <w:r w:rsidR="006A04B4">
        <w:rPr>
          <w:rFonts w:eastAsia="Times New Roman" w:cs="Arial"/>
          <w:color w:val="000000"/>
          <w:lang w:val="en-US"/>
        </w:rPr>
        <w:t xml:space="preserve">numbers and qualities of the destinations serviced by the available routes (TfL 2010), differences in the </w:t>
      </w:r>
      <w:r>
        <w:rPr>
          <w:rFonts w:eastAsia="Times New Roman" w:cs="Arial"/>
          <w:color w:val="000000"/>
          <w:lang w:val="en-US"/>
        </w:rPr>
        <w:t xml:space="preserve">built environment (e.g. availability of footpaths) and </w:t>
      </w:r>
      <w:r w:rsidR="006A04B4">
        <w:rPr>
          <w:rFonts w:eastAsia="Times New Roman" w:cs="Arial"/>
          <w:color w:val="000000"/>
          <w:lang w:val="en-US"/>
        </w:rPr>
        <w:t>for assuming that all</w:t>
      </w:r>
      <w:r>
        <w:rPr>
          <w:rFonts w:eastAsia="Times New Roman" w:cs="Arial"/>
          <w:color w:val="000000"/>
          <w:lang w:val="en-US"/>
        </w:rPr>
        <w:t xml:space="preserve"> </w:t>
      </w:r>
      <w:r w:rsidR="006A04B4">
        <w:rPr>
          <w:rFonts w:eastAsia="Times New Roman" w:cs="Arial"/>
          <w:color w:val="000000"/>
          <w:lang w:val="en-US"/>
        </w:rPr>
        <w:t>people share the same</w:t>
      </w:r>
      <w:r>
        <w:rPr>
          <w:rFonts w:eastAsia="Times New Roman" w:cs="Arial"/>
          <w:color w:val="000000"/>
          <w:lang w:val="en-US"/>
        </w:rPr>
        <w:t xml:space="preserve"> walking speed</w:t>
      </w:r>
      <w:r w:rsidR="006A04B4">
        <w:rPr>
          <w:rFonts w:eastAsia="Times New Roman" w:cs="Arial"/>
          <w:color w:val="000000"/>
          <w:lang w:val="en-US"/>
        </w:rPr>
        <w:t>,</w:t>
      </w:r>
      <w:r>
        <w:rPr>
          <w:rFonts w:eastAsia="Times New Roman" w:cs="Arial"/>
          <w:color w:val="000000"/>
          <w:lang w:val="en-US"/>
        </w:rPr>
        <w:t xml:space="preserve"> </w:t>
      </w:r>
      <w:r w:rsidR="006A04B4">
        <w:rPr>
          <w:rFonts w:eastAsia="Times New Roman" w:cs="Arial"/>
          <w:color w:val="000000"/>
          <w:lang w:val="en-US"/>
        </w:rPr>
        <w:t>a</w:t>
      </w:r>
      <w:r>
        <w:rPr>
          <w:rFonts w:eastAsia="Times New Roman" w:cs="Arial"/>
          <w:color w:val="000000"/>
          <w:lang w:val="en-US"/>
        </w:rPr>
        <w:t xml:space="preserve">bility or willingness to walk to public transport access points </w:t>
      </w:r>
      <w:r w:rsidR="006A04B4">
        <w:rPr>
          <w:rFonts w:eastAsia="Times New Roman" w:cs="Arial"/>
          <w:color w:val="000000"/>
          <w:lang w:val="en-US"/>
        </w:rPr>
        <w:t>and for ignoring cycling or driving to access public</w:t>
      </w:r>
      <w:r w:rsidR="007B24DB">
        <w:rPr>
          <w:rFonts w:eastAsia="Times New Roman" w:cs="Arial"/>
          <w:color w:val="000000"/>
          <w:lang w:val="en-US"/>
        </w:rPr>
        <w:t xml:space="preserve"> transport</w:t>
      </w:r>
      <w:r w:rsidR="006A04B4">
        <w:rPr>
          <w:rFonts w:eastAsia="Times New Roman" w:cs="Arial"/>
          <w:color w:val="000000"/>
          <w:lang w:val="en-US"/>
        </w:rPr>
        <w:t>.</w:t>
      </w:r>
      <w:r>
        <w:rPr>
          <w:rFonts w:eastAsia="Times New Roman" w:cs="Arial"/>
          <w:color w:val="000000"/>
          <w:lang w:val="en-US"/>
        </w:rPr>
        <w:t xml:space="preserve"> </w:t>
      </w:r>
      <w:r w:rsidR="00C53117">
        <w:rPr>
          <w:rFonts w:eastAsia="Times New Roman" w:cs="Arial"/>
          <w:color w:val="000000"/>
          <w:lang w:val="en-US"/>
        </w:rPr>
        <w:t xml:space="preserve">In addition, the PTAL for hubs serving the city dominate any PTAL map. </w:t>
      </w:r>
      <w:r>
        <w:rPr>
          <w:rFonts w:eastAsia="Times New Roman" w:cs="Arial"/>
          <w:color w:val="000000"/>
          <w:lang w:val="en-US"/>
        </w:rPr>
        <w:t xml:space="preserve">However since being developed in </w:t>
      </w:r>
      <w:r w:rsidR="00DD0225">
        <w:rPr>
          <w:rFonts w:eastAsia="Times New Roman" w:cs="Arial"/>
          <w:color w:val="000000"/>
          <w:lang w:val="en-US"/>
        </w:rPr>
        <w:t xml:space="preserve">Greater </w:t>
      </w:r>
      <w:r w:rsidR="0017456C">
        <w:rPr>
          <w:rFonts w:eastAsia="Times New Roman" w:cs="Arial"/>
          <w:color w:val="000000"/>
          <w:lang w:val="en-US"/>
        </w:rPr>
        <w:t xml:space="preserve">London </w:t>
      </w:r>
      <w:r w:rsidR="00DD0225">
        <w:rPr>
          <w:rFonts w:eastAsia="Times New Roman" w:cs="Arial"/>
          <w:color w:val="000000"/>
          <w:lang w:val="en-US"/>
        </w:rPr>
        <w:t xml:space="preserve">(Transport for London 2015) </w:t>
      </w:r>
      <w:r>
        <w:rPr>
          <w:rFonts w:eastAsia="Times New Roman" w:cs="Arial"/>
          <w:color w:val="000000"/>
          <w:lang w:val="en-US"/>
        </w:rPr>
        <w:t xml:space="preserve">the methodology has </w:t>
      </w:r>
      <w:r w:rsidR="00DD0225">
        <w:rPr>
          <w:rFonts w:eastAsia="Times New Roman" w:cs="Arial"/>
          <w:color w:val="000000"/>
          <w:lang w:val="en-US"/>
        </w:rPr>
        <w:t xml:space="preserve">been applied to other cities </w:t>
      </w:r>
      <w:r w:rsidR="002B4BB0">
        <w:rPr>
          <w:rFonts w:eastAsia="Times New Roman" w:cs="Arial"/>
          <w:color w:val="000000"/>
          <w:lang w:val="en-US"/>
        </w:rPr>
        <w:t xml:space="preserve">both by researchers </w:t>
      </w:r>
      <w:r w:rsidR="00DD0225">
        <w:rPr>
          <w:rFonts w:eastAsia="Times New Roman" w:cs="Arial"/>
          <w:color w:val="000000"/>
          <w:lang w:val="en-US"/>
        </w:rPr>
        <w:t>(</w:t>
      </w:r>
      <w:r>
        <w:rPr>
          <w:rFonts w:eastAsia="Times New Roman" w:cs="Arial"/>
          <w:color w:val="000000"/>
          <w:lang w:val="en-US"/>
        </w:rPr>
        <w:t xml:space="preserve">see for example </w:t>
      </w:r>
      <w:r w:rsidR="00BA3DF1">
        <w:rPr>
          <w:rFonts w:eastAsia="Times New Roman" w:cs="Arial"/>
          <w:color w:val="000000"/>
          <w:lang w:val="en-US"/>
        </w:rPr>
        <w:t>Wu and Hine 2003</w:t>
      </w:r>
      <w:r>
        <w:rPr>
          <w:rFonts w:eastAsia="Times New Roman" w:cs="Arial"/>
          <w:color w:val="000000"/>
          <w:lang w:val="en-US"/>
        </w:rPr>
        <w:t xml:space="preserve"> for Belfast, Northern Ireland and Kamruzzaman et al. 2014 for Brisbane, Australia)</w:t>
      </w:r>
      <w:r w:rsidR="002B4BB0">
        <w:rPr>
          <w:rFonts w:eastAsia="Times New Roman" w:cs="Arial"/>
          <w:color w:val="000000"/>
          <w:lang w:val="en-US"/>
        </w:rPr>
        <w:t xml:space="preserve"> and by network planners (see Public Transport Victoria 2012, pp. 28-29)</w:t>
      </w:r>
      <w:r>
        <w:rPr>
          <w:rFonts w:eastAsia="Times New Roman" w:cs="Arial"/>
          <w:color w:val="000000"/>
          <w:lang w:val="en-US"/>
        </w:rPr>
        <w:t>.</w:t>
      </w:r>
    </w:p>
    <w:p w14:paraId="69F62972" w14:textId="77777777" w:rsidR="00091FE8" w:rsidRDefault="00091FE8">
      <w:pPr>
        <w:rPr>
          <w:b/>
          <w:sz w:val="24"/>
          <w:szCs w:val="24"/>
          <w:lang w:val="en-US"/>
        </w:rPr>
      </w:pPr>
      <w:r>
        <w:br w:type="page"/>
      </w:r>
    </w:p>
    <w:p w14:paraId="69F62973" w14:textId="77777777" w:rsidR="00F3369C" w:rsidRPr="006A04B4" w:rsidRDefault="00F3369C" w:rsidP="00F3369C">
      <w:pPr>
        <w:pStyle w:val="Heading2"/>
      </w:pPr>
      <w:r>
        <w:lastRenderedPageBreak/>
        <w:t>3.2 Descriptive analysis using maps</w:t>
      </w:r>
    </w:p>
    <w:p w14:paraId="69F62974" w14:textId="3261CE95" w:rsidR="00F3369C" w:rsidRDefault="00F3369C" w:rsidP="00F3369C">
      <w:pPr>
        <w:spacing w:before="120"/>
        <w:rPr>
          <w:rFonts w:eastAsia="Times New Roman" w:cs="Arial"/>
          <w:color w:val="000000"/>
          <w:lang w:val="en-US"/>
        </w:rPr>
      </w:pPr>
      <w:r w:rsidRPr="006A04B4">
        <w:rPr>
          <w:rFonts w:cs="Arial"/>
          <w:lang w:val="en-US"/>
        </w:rPr>
        <w:t xml:space="preserve">The methodology for the descriptive part of this paper is to compare maps of supply with the maps of the potential drivers of </w:t>
      </w:r>
      <w:r w:rsidR="001C0B7D">
        <w:rPr>
          <w:rFonts w:cs="Arial"/>
          <w:lang w:val="en-US"/>
        </w:rPr>
        <w:t>demand</w:t>
      </w:r>
      <w:r w:rsidRPr="006A04B4">
        <w:rPr>
          <w:rFonts w:cs="Arial"/>
          <w:lang w:val="en-US"/>
        </w:rPr>
        <w:t>.</w:t>
      </w:r>
      <w:r>
        <w:rPr>
          <w:rFonts w:cs="Arial"/>
          <w:lang w:val="en-US"/>
        </w:rPr>
        <w:t xml:space="preserve"> </w:t>
      </w:r>
      <w:r w:rsidRPr="006A04B4">
        <w:rPr>
          <w:rFonts w:cs="Arial"/>
          <w:lang w:val="en-US"/>
        </w:rPr>
        <w:t>This looks at the outcome of applying the service planning guidelines on the basis of equal service access and considering what it means for the most vulnerable members of the community – the aged, households with low income</w:t>
      </w:r>
      <w:r w:rsidR="00C53117">
        <w:rPr>
          <w:rFonts w:cs="Arial"/>
          <w:lang w:val="en-US"/>
        </w:rPr>
        <w:t xml:space="preserve"> and</w:t>
      </w:r>
      <w:r w:rsidRPr="006A04B4">
        <w:rPr>
          <w:rFonts w:cs="Arial"/>
          <w:lang w:val="en-US"/>
        </w:rPr>
        <w:t xml:space="preserve"> the indigenous population. This is the beginning of the horizontal equity investigation in which access to supply, based on equal service access, does not discriminate between different sectors of the population</w:t>
      </w:r>
    </w:p>
    <w:p w14:paraId="69F62975" w14:textId="77777777" w:rsidR="00181C01" w:rsidRDefault="00181C01" w:rsidP="00181C01">
      <w:pPr>
        <w:pStyle w:val="Heading2"/>
      </w:pPr>
      <w:r>
        <w:t>3.3 Methodology for Modelling</w:t>
      </w:r>
    </w:p>
    <w:p w14:paraId="69F62976" w14:textId="77777777" w:rsidR="00D63919" w:rsidRDefault="004F68D5" w:rsidP="00B82544">
      <w:pPr>
        <w:rPr>
          <w:rFonts w:cs="Arial"/>
          <w:lang w:val="en-US"/>
        </w:rPr>
      </w:pPr>
      <w:r w:rsidRPr="004F68D5">
        <w:rPr>
          <w:rFonts w:cs="Arial"/>
          <w:lang w:val="en-US"/>
        </w:rPr>
        <w:t xml:space="preserve">Multivariate </w:t>
      </w:r>
      <w:r w:rsidR="00997513">
        <w:rPr>
          <w:rFonts w:cs="Arial"/>
          <w:lang w:val="en-US"/>
        </w:rPr>
        <w:t>ordinary least squares (OLS)</w:t>
      </w:r>
      <w:r w:rsidRPr="004F68D5">
        <w:rPr>
          <w:rFonts w:cs="Arial"/>
          <w:lang w:val="en-US"/>
        </w:rPr>
        <w:t xml:space="preserve"> regression was employed </w:t>
      </w:r>
      <w:r w:rsidR="00C53117">
        <w:rPr>
          <w:rFonts w:cs="Arial"/>
          <w:lang w:val="en-US"/>
        </w:rPr>
        <w:t>with</w:t>
      </w:r>
      <w:r w:rsidRPr="004F68D5">
        <w:rPr>
          <w:rFonts w:cs="Arial"/>
          <w:lang w:val="en-US"/>
        </w:rPr>
        <w:t xml:space="preserve"> </w:t>
      </w:r>
      <w:r>
        <w:rPr>
          <w:rFonts w:cs="Arial"/>
          <w:lang w:val="en-US"/>
        </w:rPr>
        <w:t>public transport supply (PTAL</w:t>
      </w:r>
      <w:r w:rsidR="00C53117">
        <w:rPr>
          <w:rFonts w:cs="Arial"/>
          <w:lang w:val="en-US"/>
        </w:rPr>
        <w:t xml:space="preserve">) as the dependent variable being explained </w:t>
      </w:r>
      <w:r>
        <w:rPr>
          <w:rFonts w:cs="Arial"/>
          <w:lang w:val="en-US"/>
        </w:rPr>
        <w:t xml:space="preserve">in terms of </w:t>
      </w:r>
      <w:r w:rsidRPr="001E76A9">
        <w:rPr>
          <w:rFonts w:eastAsia="Times New Roman" w:cs="Arial"/>
          <w:color w:val="000000"/>
          <w:lang w:val="en-US"/>
        </w:rPr>
        <w:t>demand drivers</w:t>
      </w:r>
      <w:r>
        <w:rPr>
          <w:rFonts w:eastAsia="Times New Roman" w:cs="Arial"/>
          <w:color w:val="000000"/>
          <w:lang w:val="en-US"/>
        </w:rPr>
        <w:t xml:space="preserve"> and need drivers</w:t>
      </w:r>
      <w:r w:rsidR="00C53117">
        <w:rPr>
          <w:rFonts w:eastAsia="Times New Roman" w:cs="Arial"/>
          <w:color w:val="000000"/>
          <w:lang w:val="en-US"/>
        </w:rPr>
        <w:t xml:space="preserve"> as independent variables</w:t>
      </w:r>
      <w:r w:rsidRPr="004F68D5">
        <w:rPr>
          <w:rFonts w:cs="Arial"/>
          <w:lang w:val="en-US"/>
        </w:rPr>
        <w:t xml:space="preserve">. </w:t>
      </w:r>
      <w:r w:rsidR="00D63919">
        <w:rPr>
          <w:rFonts w:cs="Arial"/>
          <w:lang w:val="en-US"/>
        </w:rPr>
        <w:t xml:space="preserve">The demand drivers include population density, employment density, </w:t>
      </w:r>
      <w:r w:rsidR="00256060">
        <w:rPr>
          <w:rFonts w:cs="Arial"/>
          <w:lang w:val="en-US"/>
        </w:rPr>
        <w:t xml:space="preserve">elevation, distance to </w:t>
      </w:r>
      <w:r w:rsidR="00256060" w:rsidRPr="00DF6FE7">
        <w:rPr>
          <w:rFonts w:cs="Arial"/>
          <w:lang w:val="en-US"/>
        </w:rPr>
        <w:t>inland water</w:t>
      </w:r>
      <w:r w:rsidR="00256060" w:rsidRPr="00A35C39">
        <w:rPr>
          <w:rFonts w:cs="Arial"/>
          <w:lang w:val="en-US"/>
        </w:rPr>
        <w:t xml:space="preserve">, </w:t>
      </w:r>
      <w:r w:rsidR="00A35C39">
        <w:rPr>
          <w:rFonts w:cs="Arial"/>
          <w:lang w:val="en-US"/>
        </w:rPr>
        <w:t>d</w:t>
      </w:r>
      <w:r w:rsidR="00256060" w:rsidRPr="00DF6FE7">
        <w:rPr>
          <w:rFonts w:cs="Arial"/>
          <w:lang w:val="en-US"/>
        </w:rPr>
        <w:t>istance to harbour</w:t>
      </w:r>
      <w:r w:rsidR="00256060" w:rsidRPr="00A35C39">
        <w:rPr>
          <w:rFonts w:cs="Arial"/>
          <w:lang w:val="en-US"/>
        </w:rPr>
        <w:t xml:space="preserve">, </w:t>
      </w:r>
      <w:r w:rsidR="00A35C39">
        <w:rPr>
          <w:rFonts w:cs="Arial"/>
          <w:lang w:val="en-US"/>
        </w:rPr>
        <w:t>d</w:t>
      </w:r>
      <w:r w:rsidR="00256060" w:rsidRPr="00DF6FE7">
        <w:rPr>
          <w:rFonts w:cs="Arial"/>
          <w:lang w:val="en-US"/>
        </w:rPr>
        <w:t>istance to beach</w:t>
      </w:r>
      <w:r w:rsidR="00256060" w:rsidRPr="00A35C39">
        <w:rPr>
          <w:rFonts w:cs="Arial"/>
          <w:lang w:val="en-US"/>
        </w:rPr>
        <w:t xml:space="preserve">, </w:t>
      </w:r>
      <w:r w:rsidR="00A35C39">
        <w:rPr>
          <w:rFonts w:cs="Arial"/>
          <w:lang w:val="en-US"/>
        </w:rPr>
        <w:t>d</w:t>
      </w:r>
      <w:r w:rsidR="00256060" w:rsidRPr="00DF6FE7">
        <w:rPr>
          <w:rFonts w:cs="Arial"/>
          <w:lang w:val="en-US"/>
        </w:rPr>
        <w:t>istance to coast</w:t>
      </w:r>
      <w:r w:rsidR="00256060" w:rsidRPr="00A35C39">
        <w:rPr>
          <w:rFonts w:cs="Arial"/>
          <w:lang w:val="en-US"/>
        </w:rPr>
        <w:t xml:space="preserve">, </w:t>
      </w:r>
      <w:r w:rsidR="00A35C39">
        <w:rPr>
          <w:rFonts w:cs="Arial"/>
          <w:lang w:val="en-US"/>
        </w:rPr>
        <w:t xml:space="preserve">and number of </w:t>
      </w:r>
      <w:r w:rsidR="00256060" w:rsidRPr="00DF6FE7">
        <w:rPr>
          <w:rFonts w:cs="Arial"/>
          <w:lang w:val="en-US"/>
        </w:rPr>
        <w:t>jobs within 30 minutes by public transport</w:t>
      </w:r>
      <w:r w:rsidR="00A35C39">
        <w:rPr>
          <w:rFonts w:cs="Arial"/>
          <w:lang w:val="en-US"/>
        </w:rPr>
        <w:t xml:space="preserve"> and by car. </w:t>
      </w:r>
      <w:r w:rsidR="00892137">
        <w:rPr>
          <w:rFonts w:cs="Arial"/>
          <w:lang w:val="en-US"/>
        </w:rPr>
        <w:t xml:space="preserve">The need drivers include </w:t>
      </w:r>
      <w:r w:rsidR="004900F0">
        <w:rPr>
          <w:rFonts w:cs="Arial"/>
          <w:lang w:val="en-US"/>
        </w:rPr>
        <w:t xml:space="preserve">percentage of unemployed population, percentage of low-income population, percentage of indigenous population, percentage of older population, percentage of population with disability, and </w:t>
      </w:r>
      <w:r w:rsidR="004900F0" w:rsidRPr="004900F0">
        <w:rPr>
          <w:rFonts w:cs="Arial"/>
          <w:lang w:val="en-US"/>
        </w:rPr>
        <w:t xml:space="preserve">Socio-Economic Indexes for Areas </w:t>
      </w:r>
      <w:r w:rsidR="004900F0">
        <w:rPr>
          <w:rFonts w:cs="Arial"/>
          <w:lang w:val="en-US"/>
        </w:rPr>
        <w:t>(SEIFA).</w:t>
      </w:r>
      <w:r w:rsidR="00BC4BAC">
        <w:rPr>
          <w:rFonts w:cs="Arial"/>
          <w:lang w:val="en-US"/>
        </w:rPr>
        <w:t xml:space="preserve"> </w:t>
      </w:r>
      <w:r w:rsidR="004F0902">
        <w:rPr>
          <w:rFonts w:cs="Arial"/>
          <w:lang w:val="en-US"/>
        </w:rPr>
        <w:t>The PTAL score</w:t>
      </w:r>
      <w:r w:rsidR="00C53117">
        <w:rPr>
          <w:rFonts w:cs="Arial"/>
          <w:lang w:val="en-US"/>
        </w:rPr>
        <w:t xml:space="preserve"> as described above,</w:t>
      </w:r>
      <w:r w:rsidR="004F0902">
        <w:rPr>
          <w:rFonts w:cs="Arial"/>
          <w:lang w:val="en-US"/>
        </w:rPr>
        <w:t xml:space="preserve"> is</w:t>
      </w:r>
      <w:r w:rsidR="00C53117">
        <w:rPr>
          <w:rFonts w:cs="Arial"/>
          <w:lang w:val="en-US"/>
        </w:rPr>
        <w:t xml:space="preserve"> calculated</w:t>
      </w:r>
      <w:r w:rsidR="004F0902">
        <w:rPr>
          <w:rFonts w:cs="Arial"/>
          <w:lang w:val="en-US"/>
        </w:rPr>
        <w:t xml:space="preserve"> at SA1 level</w:t>
      </w:r>
      <w:r w:rsidR="00C53117">
        <w:rPr>
          <w:rFonts w:cs="Arial"/>
          <w:lang w:val="en-US"/>
        </w:rPr>
        <w:t xml:space="preserve"> was matched with </w:t>
      </w:r>
      <w:r w:rsidR="004F0902">
        <w:rPr>
          <w:rFonts w:cs="Arial"/>
          <w:lang w:val="en-US"/>
        </w:rPr>
        <w:t xml:space="preserve">independent variables, also calculated at the SA1 level. The socio-demographic variables </w:t>
      </w:r>
      <w:r w:rsidR="00C53117">
        <w:rPr>
          <w:rFonts w:cs="Arial"/>
          <w:lang w:val="en-US"/>
        </w:rPr>
        <w:t>come</w:t>
      </w:r>
      <w:r w:rsidR="004F0902">
        <w:rPr>
          <w:rFonts w:cs="Arial"/>
          <w:lang w:val="en-US"/>
        </w:rPr>
        <w:t xml:space="preserve"> from the latest census data </w:t>
      </w:r>
      <w:r w:rsidR="00C53117">
        <w:rPr>
          <w:rFonts w:cs="Arial"/>
          <w:lang w:val="en-US"/>
        </w:rPr>
        <w:t xml:space="preserve">of 2011. All </w:t>
      </w:r>
      <w:r w:rsidR="00A00012">
        <w:rPr>
          <w:rFonts w:cs="Arial"/>
          <w:lang w:val="en-US"/>
        </w:rPr>
        <w:t>distance measures were calculated in GIS from the centroid o</w:t>
      </w:r>
      <w:r w:rsidR="00FC0BE4">
        <w:rPr>
          <w:rFonts w:cs="Arial"/>
          <w:lang w:val="en-US"/>
        </w:rPr>
        <w:t>f</w:t>
      </w:r>
      <w:r w:rsidR="00A00012">
        <w:rPr>
          <w:rFonts w:cs="Arial"/>
          <w:lang w:val="en-US"/>
        </w:rPr>
        <w:t xml:space="preserve"> the SA1 polygon to various destinations. </w:t>
      </w:r>
      <w:r w:rsidR="00FC0BE4">
        <w:rPr>
          <w:rFonts w:cs="Arial"/>
          <w:lang w:val="en-US"/>
        </w:rPr>
        <w:t xml:space="preserve">Descriptive statistics for all </w:t>
      </w:r>
      <w:r w:rsidR="00BC4BAC">
        <w:rPr>
          <w:rFonts w:cs="Arial"/>
          <w:lang w:val="en-US"/>
        </w:rPr>
        <w:t xml:space="preserve">variables is </w:t>
      </w:r>
      <w:r w:rsidR="00FC0BE4">
        <w:rPr>
          <w:rFonts w:cs="Arial"/>
          <w:lang w:val="en-US"/>
        </w:rPr>
        <w:t xml:space="preserve">presented </w:t>
      </w:r>
      <w:r w:rsidR="00BC4BAC">
        <w:rPr>
          <w:rFonts w:cs="Arial"/>
          <w:lang w:val="en-US"/>
        </w:rPr>
        <w:t xml:space="preserve">in Table 4. </w:t>
      </w:r>
    </w:p>
    <w:p w14:paraId="69F62977" w14:textId="7B9EE680" w:rsidR="004F68D5" w:rsidRDefault="00720854" w:rsidP="00B82544">
      <w:pPr>
        <w:rPr>
          <w:lang w:eastAsia="zh-CN"/>
        </w:rPr>
      </w:pPr>
      <w:r>
        <w:rPr>
          <w:rFonts w:cs="Arial"/>
          <w:lang w:val="en-US"/>
        </w:rPr>
        <w:t xml:space="preserve">The </w:t>
      </w:r>
      <w:r w:rsidR="004F68D5" w:rsidRPr="004F68D5">
        <w:rPr>
          <w:rFonts w:cs="Arial"/>
          <w:lang w:val="en-US"/>
        </w:rPr>
        <w:t xml:space="preserve">distribution of </w:t>
      </w:r>
      <w:r w:rsidR="004F68D5">
        <w:rPr>
          <w:rFonts w:cs="Arial"/>
          <w:lang w:val="en-US"/>
        </w:rPr>
        <w:t>PTAL values</w:t>
      </w:r>
      <w:r w:rsidR="004F68D5" w:rsidRPr="004F68D5">
        <w:rPr>
          <w:rFonts w:cs="Arial"/>
          <w:lang w:val="en-US"/>
        </w:rPr>
        <w:t xml:space="preserve"> </w:t>
      </w:r>
      <w:r w:rsidR="004F68D5">
        <w:rPr>
          <w:rFonts w:cs="Arial"/>
          <w:lang w:val="en-US"/>
        </w:rPr>
        <w:t>are</w:t>
      </w:r>
      <w:r w:rsidR="004F68D5" w:rsidRPr="004F68D5">
        <w:rPr>
          <w:rFonts w:cs="Arial"/>
          <w:lang w:val="en-US"/>
        </w:rPr>
        <w:t xml:space="preserve"> skewed toward the origin (zero)</w:t>
      </w:r>
      <w:r w:rsidR="001D72A5">
        <w:rPr>
          <w:rFonts w:cs="Arial"/>
          <w:lang w:val="en-US"/>
        </w:rPr>
        <w:t xml:space="preserve"> </w:t>
      </w:r>
      <w:bookmarkStart w:id="0" w:name="_GoBack"/>
      <w:bookmarkEnd w:id="0"/>
      <w:r w:rsidR="00997513">
        <w:rPr>
          <w:rFonts w:cs="Arial"/>
          <w:lang w:val="en-US"/>
        </w:rPr>
        <w:t>and</w:t>
      </w:r>
      <w:r w:rsidR="004F68D5" w:rsidRPr="004F68D5">
        <w:rPr>
          <w:rFonts w:cs="Arial"/>
          <w:lang w:val="en-US"/>
        </w:rPr>
        <w:t xml:space="preserve"> a logarithm transformation of </w:t>
      </w:r>
      <w:r w:rsidR="004F68D5">
        <w:rPr>
          <w:rFonts w:cs="Arial"/>
          <w:lang w:val="en-US"/>
        </w:rPr>
        <w:t>PTAL</w:t>
      </w:r>
      <w:r w:rsidR="004F68D5" w:rsidRPr="004F68D5">
        <w:rPr>
          <w:rFonts w:cs="Arial"/>
          <w:lang w:val="en-US"/>
        </w:rPr>
        <w:t xml:space="preserve"> data was used</w:t>
      </w:r>
      <w:r w:rsidR="00997513">
        <w:rPr>
          <w:rFonts w:cs="Arial"/>
          <w:lang w:val="en-US"/>
        </w:rPr>
        <w:t xml:space="preserve"> to provide compliance with OLS assumptions</w:t>
      </w:r>
      <w:r w:rsidR="004F68D5" w:rsidRPr="004F68D5">
        <w:rPr>
          <w:rFonts w:cs="Arial"/>
          <w:lang w:val="en-US"/>
        </w:rPr>
        <w:t xml:space="preserve">. </w:t>
      </w:r>
      <w:r w:rsidR="00997513">
        <w:rPr>
          <w:lang w:eastAsia="zh-CN"/>
        </w:rPr>
        <w:t>S</w:t>
      </w:r>
      <w:r w:rsidR="004F68D5" w:rsidRPr="00070D11">
        <w:rPr>
          <w:lang w:eastAsia="zh-CN"/>
        </w:rPr>
        <w:t xml:space="preserve">eparate models for </w:t>
      </w:r>
      <w:r w:rsidR="00997513">
        <w:rPr>
          <w:lang w:eastAsia="zh-CN"/>
        </w:rPr>
        <w:t xml:space="preserve">the </w:t>
      </w:r>
      <w:r w:rsidR="004F68D5">
        <w:rPr>
          <w:lang w:eastAsia="zh-CN"/>
        </w:rPr>
        <w:t>peak hour (7-8 am) and off-peak hour (10-11 am)</w:t>
      </w:r>
      <w:r w:rsidR="00997513">
        <w:rPr>
          <w:lang w:eastAsia="zh-CN"/>
        </w:rPr>
        <w:t xml:space="preserve"> were estimated</w:t>
      </w:r>
      <w:r w:rsidR="004F68D5" w:rsidRPr="00070D11">
        <w:rPr>
          <w:lang w:eastAsia="zh-CN"/>
        </w:rPr>
        <w:t xml:space="preserve">. </w:t>
      </w:r>
      <w:r w:rsidR="00997513">
        <w:rPr>
          <w:lang w:eastAsia="zh-CN"/>
        </w:rPr>
        <w:t xml:space="preserve">Different combinations of variables were </w:t>
      </w:r>
      <w:r w:rsidR="004F68D5" w:rsidRPr="00070D11">
        <w:rPr>
          <w:lang w:eastAsia="zh-CN"/>
        </w:rPr>
        <w:t xml:space="preserve">tested before </w:t>
      </w:r>
      <w:r w:rsidR="00997513">
        <w:rPr>
          <w:lang w:eastAsia="zh-CN"/>
        </w:rPr>
        <w:t>determining</w:t>
      </w:r>
      <w:r w:rsidR="004F68D5" w:rsidRPr="00070D11">
        <w:rPr>
          <w:lang w:eastAsia="zh-CN"/>
        </w:rPr>
        <w:t xml:space="preserve"> the final models based upon goodness-of-fit statistics (adjusted R</w:t>
      </w:r>
      <w:r w:rsidR="004F68D5" w:rsidRPr="00070D11">
        <w:rPr>
          <w:vertAlign w:val="superscript"/>
          <w:lang w:eastAsia="zh-CN"/>
        </w:rPr>
        <w:t>2</w:t>
      </w:r>
      <w:r w:rsidR="004F68D5" w:rsidRPr="00070D11">
        <w:rPr>
          <w:lang w:eastAsia="zh-CN"/>
        </w:rPr>
        <w:t>).</w:t>
      </w:r>
      <w:r w:rsidR="008846E0" w:rsidRPr="008846E0">
        <w:rPr>
          <w:lang w:eastAsia="zh-CN"/>
        </w:rPr>
        <w:t xml:space="preserve"> </w:t>
      </w:r>
      <w:r w:rsidR="00997513">
        <w:rPr>
          <w:lang w:eastAsia="zh-CN"/>
        </w:rPr>
        <w:t>Following a correlation analysis, some highly correlated variables were not used to avoid multicollinearity</w:t>
      </w:r>
      <w:r w:rsidR="008846E0" w:rsidRPr="00070D11">
        <w:rPr>
          <w:lang w:eastAsia="zh-CN"/>
        </w:rPr>
        <w:t xml:space="preserve">, </w:t>
      </w:r>
      <w:r w:rsidR="00997513">
        <w:rPr>
          <w:lang w:eastAsia="zh-CN"/>
        </w:rPr>
        <w:t>and some</w:t>
      </w:r>
      <w:r w:rsidR="008846E0" w:rsidRPr="00070D11">
        <w:rPr>
          <w:lang w:eastAsia="zh-CN"/>
        </w:rPr>
        <w:t xml:space="preserve"> variables that were not significant in any of the models</w:t>
      </w:r>
      <w:r w:rsidR="00997513">
        <w:rPr>
          <w:lang w:eastAsia="zh-CN"/>
        </w:rPr>
        <w:t xml:space="preserve"> were excluded.</w:t>
      </w:r>
      <w:r w:rsidR="006705A4">
        <w:rPr>
          <w:lang w:eastAsia="zh-CN"/>
        </w:rPr>
        <w:t xml:space="preserve"> </w:t>
      </w:r>
    </w:p>
    <w:p w14:paraId="69F62978" w14:textId="77777777" w:rsidR="00D10677" w:rsidRPr="006705A4" w:rsidRDefault="00D10677" w:rsidP="006705A4">
      <w:pPr>
        <w:spacing w:after="0"/>
        <w:jc w:val="center"/>
        <w:rPr>
          <w:rFonts w:eastAsia="Times New Roman" w:cs="Arial"/>
          <w:b/>
          <w:color w:val="000000"/>
          <w:lang w:val="en-US"/>
        </w:rPr>
      </w:pPr>
      <w:r w:rsidRPr="006705A4">
        <w:rPr>
          <w:rFonts w:eastAsia="Times New Roman" w:cs="Arial"/>
          <w:b/>
          <w:color w:val="000000"/>
          <w:lang w:val="en-US"/>
        </w:rPr>
        <w:t>Table 4: Descri</w:t>
      </w:r>
      <w:r w:rsidR="006705A4">
        <w:rPr>
          <w:rFonts w:eastAsia="Times New Roman" w:cs="Arial"/>
          <w:b/>
          <w:color w:val="000000"/>
          <w:lang w:val="en-US"/>
        </w:rPr>
        <w:t>ptive analysis of the variables</w:t>
      </w:r>
    </w:p>
    <w:tbl>
      <w:tblPr>
        <w:tblW w:w="5000" w:type="pct"/>
        <w:jc w:val="center"/>
        <w:tblLook w:val="04A0" w:firstRow="1" w:lastRow="0" w:firstColumn="1" w:lastColumn="0" w:noHBand="0" w:noVBand="1"/>
      </w:tblPr>
      <w:tblGrid>
        <w:gridCol w:w="4041"/>
        <w:gridCol w:w="780"/>
        <w:gridCol w:w="1096"/>
        <w:gridCol w:w="1096"/>
        <w:gridCol w:w="921"/>
        <w:gridCol w:w="1092"/>
      </w:tblGrid>
      <w:tr w:rsidR="00256060" w:rsidRPr="006705A4" w14:paraId="69F6297F" w14:textId="77777777" w:rsidTr="006705A4">
        <w:trPr>
          <w:trHeight w:val="300"/>
          <w:jc w:val="center"/>
        </w:trPr>
        <w:tc>
          <w:tcPr>
            <w:tcW w:w="2239" w:type="pct"/>
            <w:tcBorders>
              <w:top w:val="single" w:sz="4" w:space="0" w:color="auto"/>
              <w:left w:val="nil"/>
              <w:bottom w:val="nil"/>
              <w:right w:val="nil"/>
            </w:tcBorders>
            <w:shd w:val="clear" w:color="000000" w:fill="FFFFFF"/>
            <w:noWrap/>
            <w:vAlign w:val="bottom"/>
            <w:hideMark/>
          </w:tcPr>
          <w:p w14:paraId="69F62979"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Variable</w:t>
            </w:r>
          </w:p>
        </w:tc>
        <w:tc>
          <w:tcPr>
            <w:tcW w:w="432" w:type="pct"/>
            <w:tcBorders>
              <w:top w:val="single" w:sz="4" w:space="0" w:color="auto"/>
              <w:left w:val="nil"/>
              <w:bottom w:val="nil"/>
              <w:right w:val="nil"/>
            </w:tcBorders>
            <w:shd w:val="clear" w:color="000000" w:fill="FFFFFF"/>
            <w:noWrap/>
            <w:vAlign w:val="bottom"/>
            <w:hideMark/>
          </w:tcPr>
          <w:p w14:paraId="69F6297A"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Obs</w:t>
            </w:r>
          </w:p>
        </w:tc>
        <w:tc>
          <w:tcPr>
            <w:tcW w:w="607" w:type="pct"/>
            <w:tcBorders>
              <w:top w:val="single" w:sz="4" w:space="0" w:color="auto"/>
              <w:left w:val="nil"/>
              <w:bottom w:val="nil"/>
              <w:right w:val="nil"/>
            </w:tcBorders>
            <w:shd w:val="clear" w:color="000000" w:fill="FFFFFF"/>
            <w:noWrap/>
            <w:vAlign w:val="bottom"/>
            <w:hideMark/>
          </w:tcPr>
          <w:p w14:paraId="69F6297B"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Mean</w:t>
            </w:r>
          </w:p>
        </w:tc>
        <w:tc>
          <w:tcPr>
            <w:tcW w:w="607" w:type="pct"/>
            <w:tcBorders>
              <w:top w:val="single" w:sz="4" w:space="0" w:color="auto"/>
              <w:left w:val="nil"/>
              <w:bottom w:val="nil"/>
              <w:right w:val="nil"/>
            </w:tcBorders>
            <w:shd w:val="clear" w:color="000000" w:fill="FFFFFF"/>
            <w:noWrap/>
            <w:vAlign w:val="bottom"/>
            <w:hideMark/>
          </w:tcPr>
          <w:p w14:paraId="69F6297C"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Std. Dev.</w:t>
            </w:r>
          </w:p>
        </w:tc>
        <w:tc>
          <w:tcPr>
            <w:tcW w:w="510" w:type="pct"/>
            <w:tcBorders>
              <w:top w:val="single" w:sz="4" w:space="0" w:color="auto"/>
              <w:left w:val="nil"/>
              <w:bottom w:val="nil"/>
              <w:right w:val="nil"/>
            </w:tcBorders>
            <w:shd w:val="clear" w:color="000000" w:fill="FFFFFF"/>
            <w:noWrap/>
            <w:vAlign w:val="bottom"/>
            <w:hideMark/>
          </w:tcPr>
          <w:p w14:paraId="69F6297D"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Min</w:t>
            </w:r>
          </w:p>
        </w:tc>
        <w:tc>
          <w:tcPr>
            <w:tcW w:w="605" w:type="pct"/>
            <w:tcBorders>
              <w:top w:val="single" w:sz="4" w:space="0" w:color="auto"/>
              <w:left w:val="nil"/>
              <w:bottom w:val="nil"/>
              <w:right w:val="nil"/>
            </w:tcBorders>
            <w:shd w:val="clear" w:color="000000" w:fill="FFFFFF"/>
            <w:noWrap/>
            <w:vAlign w:val="bottom"/>
            <w:hideMark/>
          </w:tcPr>
          <w:p w14:paraId="69F6297E"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Max</w:t>
            </w:r>
          </w:p>
        </w:tc>
      </w:tr>
      <w:tr w:rsidR="00256060" w:rsidRPr="006705A4" w14:paraId="69F62986" w14:textId="77777777" w:rsidTr="006705A4">
        <w:trPr>
          <w:trHeight w:val="300"/>
          <w:jc w:val="center"/>
        </w:trPr>
        <w:tc>
          <w:tcPr>
            <w:tcW w:w="2239" w:type="pct"/>
            <w:tcBorders>
              <w:top w:val="single" w:sz="4" w:space="0" w:color="auto"/>
              <w:left w:val="nil"/>
              <w:bottom w:val="nil"/>
              <w:right w:val="nil"/>
            </w:tcBorders>
            <w:shd w:val="clear" w:color="000000" w:fill="FFFFFF"/>
            <w:noWrap/>
            <w:vAlign w:val="bottom"/>
            <w:hideMark/>
          </w:tcPr>
          <w:p w14:paraId="69F62980"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PTAL at peak hours</w:t>
            </w:r>
          </w:p>
        </w:tc>
        <w:tc>
          <w:tcPr>
            <w:tcW w:w="432" w:type="pct"/>
            <w:tcBorders>
              <w:top w:val="single" w:sz="4" w:space="0" w:color="auto"/>
              <w:left w:val="nil"/>
              <w:bottom w:val="nil"/>
              <w:right w:val="nil"/>
            </w:tcBorders>
            <w:shd w:val="clear" w:color="000000" w:fill="FFFFFF"/>
            <w:noWrap/>
            <w:vAlign w:val="bottom"/>
            <w:hideMark/>
          </w:tcPr>
          <w:p w14:paraId="69F62981"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9093</w:t>
            </w:r>
          </w:p>
        </w:tc>
        <w:tc>
          <w:tcPr>
            <w:tcW w:w="607" w:type="pct"/>
            <w:tcBorders>
              <w:top w:val="single" w:sz="4" w:space="0" w:color="auto"/>
              <w:left w:val="nil"/>
              <w:bottom w:val="nil"/>
              <w:right w:val="nil"/>
            </w:tcBorders>
            <w:shd w:val="clear" w:color="000000" w:fill="FFFFFF"/>
            <w:noWrap/>
            <w:vAlign w:val="bottom"/>
            <w:hideMark/>
          </w:tcPr>
          <w:p w14:paraId="69F62982"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35.93</w:t>
            </w:r>
          </w:p>
        </w:tc>
        <w:tc>
          <w:tcPr>
            <w:tcW w:w="607" w:type="pct"/>
            <w:tcBorders>
              <w:top w:val="single" w:sz="4" w:space="0" w:color="auto"/>
              <w:left w:val="nil"/>
              <w:bottom w:val="nil"/>
              <w:right w:val="nil"/>
            </w:tcBorders>
            <w:shd w:val="clear" w:color="000000" w:fill="FFFFFF"/>
            <w:noWrap/>
            <w:vAlign w:val="bottom"/>
            <w:hideMark/>
          </w:tcPr>
          <w:p w14:paraId="69F62983"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40.34</w:t>
            </w:r>
          </w:p>
        </w:tc>
        <w:tc>
          <w:tcPr>
            <w:tcW w:w="510" w:type="pct"/>
            <w:tcBorders>
              <w:top w:val="single" w:sz="4" w:space="0" w:color="auto"/>
              <w:left w:val="nil"/>
              <w:bottom w:val="nil"/>
              <w:right w:val="nil"/>
            </w:tcBorders>
            <w:shd w:val="clear" w:color="000000" w:fill="FFFFFF"/>
            <w:noWrap/>
            <w:vAlign w:val="bottom"/>
            <w:hideMark/>
          </w:tcPr>
          <w:p w14:paraId="69F62984"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0.34</w:t>
            </w:r>
          </w:p>
        </w:tc>
        <w:tc>
          <w:tcPr>
            <w:tcW w:w="605" w:type="pct"/>
            <w:tcBorders>
              <w:top w:val="single" w:sz="4" w:space="0" w:color="auto"/>
              <w:left w:val="nil"/>
              <w:bottom w:val="nil"/>
              <w:right w:val="nil"/>
            </w:tcBorders>
            <w:shd w:val="clear" w:color="000000" w:fill="FFFFFF"/>
            <w:noWrap/>
            <w:vAlign w:val="bottom"/>
            <w:hideMark/>
          </w:tcPr>
          <w:p w14:paraId="69F62985"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555.36</w:t>
            </w:r>
          </w:p>
        </w:tc>
      </w:tr>
      <w:tr w:rsidR="00256060" w:rsidRPr="006705A4" w14:paraId="69F6298D" w14:textId="77777777" w:rsidTr="006705A4">
        <w:trPr>
          <w:trHeight w:val="300"/>
          <w:jc w:val="center"/>
        </w:trPr>
        <w:tc>
          <w:tcPr>
            <w:tcW w:w="2239" w:type="pct"/>
            <w:tcBorders>
              <w:top w:val="nil"/>
              <w:left w:val="nil"/>
              <w:bottom w:val="nil"/>
              <w:right w:val="nil"/>
            </w:tcBorders>
            <w:shd w:val="clear" w:color="000000" w:fill="FFFFFF"/>
            <w:noWrap/>
            <w:vAlign w:val="bottom"/>
            <w:hideMark/>
          </w:tcPr>
          <w:p w14:paraId="69F62987"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PTAL at offpeak hours</w:t>
            </w:r>
          </w:p>
        </w:tc>
        <w:tc>
          <w:tcPr>
            <w:tcW w:w="432" w:type="pct"/>
            <w:tcBorders>
              <w:top w:val="nil"/>
              <w:left w:val="nil"/>
              <w:bottom w:val="nil"/>
              <w:right w:val="nil"/>
            </w:tcBorders>
            <w:shd w:val="clear" w:color="000000" w:fill="FFFFFF"/>
            <w:noWrap/>
            <w:vAlign w:val="bottom"/>
            <w:hideMark/>
          </w:tcPr>
          <w:p w14:paraId="69F62988"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9065</w:t>
            </w:r>
          </w:p>
        </w:tc>
        <w:tc>
          <w:tcPr>
            <w:tcW w:w="607" w:type="pct"/>
            <w:tcBorders>
              <w:top w:val="nil"/>
              <w:left w:val="nil"/>
              <w:bottom w:val="nil"/>
              <w:right w:val="nil"/>
            </w:tcBorders>
            <w:shd w:val="clear" w:color="000000" w:fill="FFFFFF"/>
            <w:noWrap/>
            <w:vAlign w:val="bottom"/>
            <w:hideMark/>
          </w:tcPr>
          <w:p w14:paraId="69F62989"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28.69</w:t>
            </w:r>
          </w:p>
        </w:tc>
        <w:tc>
          <w:tcPr>
            <w:tcW w:w="607" w:type="pct"/>
            <w:tcBorders>
              <w:top w:val="nil"/>
              <w:left w:val="nil"/>
              <w:bottom w:val="nil"/>
              <w:right w:val="nil"/>
            </w:tcBorders>
            <w:shd w:val="clear" w:color="000000" w:fill="FFFFFF"/>
            <w:noWrap/>
            <w:vAlign w:val="bottom"/>
            <w:hideMark/>
          </w:tcPr>
          <w:p w14:paraId="69F6298A"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37.66</w:t>
            </w:r>
          </w:p>
        </w:tc>
        <w:tc>
          <w:tcPr>
            <w:tcW w:w="510" w:type="pct"/>
            <w:tcBorders>
              <w:top w:val="nil"/>
              <w:left w:val="nil"/>
              <w:bottom w:val="nil"/>
              <w:right w:val="nil"/>
            </w:tcBorders>
            <w:shd w:val="clear" w:color="000000" w:fill="FFFFFF"/>
            <w:noWrap/>
            <w:vAlign w:val="bottom"/>
            <w:hideMark/>
          </w:tcPr>
          <w:p w14:paraId="69F6298B"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0.34</w:t>
            </w:r>
          </w:p>
        </w:tc>
        <w:tc>
          <w:tcPr>
            <w:tcW w:w="605" w:type="pct"/>
            <w:tcBorders>
              <w:top w:val="nil"/>
              <w:left w:val="nil"/>
              <w:bottom w:val="nil"/>
              <w:right w:val="nil"/>
            </w:tcBorders>
            <w:shd w:val="clear" w:color="000000" w:fill="FFFFFF"/>
            <w:noWrap/>
            <w:vAlign w:val="bottom"/>
            <w:hideMark/>
          </w:tcPr>
          <w:p w14:paraId="69F6298C"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513.61</w:t>
            </w:r>
          </w:p>
        </w:tc>
      </w:tr>
      <w:tr w:rsidR="00256060" w:rsidRPr="006705A4" w14:paraId="69F62994" w14:textId="77777777" w:rsidTr="006705A4">
        <w:trPr>
          <w:trHeight w:val="300"/>
          <w:jc w:val="center"/>
        </w:trPr>
        <w:tc>
          <w:tcPr>
            <w:tcW w:w="2239" w:type="pct"/>
            <w:tcBorders>
              <w:top w:val="nil"/>
              <w:left w:val="nil"/>
              <w:bottom w:val="nil"/>
              <w:right w:val="nil"/>
            </w:tcBorders>
            <w:shd w:val="clear" w:color="000000" w:fill="FFFFFF"/>
            <w:noWrap/>
            <w:vAlign w:val="bottom"/>
            <w:hideMark/>
          </w:tcPr>
          <w:p w14:paraId="69F6298E"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Population density</w:t>
            </w:r>
          </w:p>
        </w:tc>
        <w:tc>
          <w:tcPr>
            <w:tcW w:w="432" w:type="pct"/>
            <w:tcBorders>
              <w:top w:val="nil"/>
              <w:left w:val="nil"/>
              <w:bottom w:val="nil"/>
              <w:right w:val="nil"/>
            </w:tcBorders>
            <w:shd w:val="clear" w:color="000000" w:fill="FFFFFF"/>
            <w:noWrap/>
            <w:vAlign w:val="bottom"/>
            <w:hideMark/>
          </w:tcPr>
          <w:p w14:paraId="69F6298F"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9154</w:t>
            </w:r>
          </w:p>
        </w:tc>
        <w:tc>
          <w:tcPr>
            <w:tcW w:w="607" w:type="pct"/>
            <w:tcBorders>
              <w:top w:val="nil"/>
              <w:left w:val="nil"/>
              <w:bottom w:val="nil"/>
              <w:right w:val="nil"/>
            </w:tcBorders>
            <w:shd w:val="clear" w:color="000000" w:fill="FFFFFF"/>
            <w:noWrap/>
            <w:vAlign w:val="bottom"/>
            <w:hideMark/>
          </w:tcPr>
          <w:p w14:paraId="69F62990"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43.54</w:t>
            </w:r>
          </w:p>
        </w:tc>
        <w:tc>
          <w:tcPr>
            <w:tcW w:w="607" w:type="pct"/>
            <w:tcBorders>
              <w:top w:val="nil"/>
              <w:left w:val="nil"/>
              <w:bottom w:val="nil"/>
              <w:right w:val="nil"/>
            </w:tcBorders>
            <w:shd w:val="clear" w:color="000000" w:fill="FFFFFF"/>
            <w:noWrap/>
            <w:vAlign w:val="bottom"/>
            <w:hideMark/>
          </w:tcPr>
          <w:p w14:paraId="69F62991"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48.44</w:t>
            </w:r>
          </w:p>
        </w:tc>
        <w:tc>
          <w:tcPr>
            <w:tcW w:w="510" w:type="pct"/>
            <w:tcBorders>
              <w:top w:val="nil"/>
              <w:left w:val="nil"/>
              <w:bottom w:val="nil"/>
              <w:right w:val="nil"/>
            </w:tcBorders>
            <w:shd w:val="clear" w:color="000000" w:fill="FFFFFF"/>
            <w:noWrap/>
            <w:vAlign w:val="bottom"/>
            <w:hideMark/>
          </w:tcPr>
          <w:p w14:paraId="69F62992"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w:t>
            </w:r>
          </w:p>
        </w:tc>
        <w:tc>
          <w:tcPr>
            <w:tcW w:w="605" w:type="pct"/>
            <w:tcBorders>
              <w:top w:val="nil"/>
              <w:left w:val="nil"/>
              <w:bottom w:val="nil"/>
              <w:right w:val="nil"/>
            </w:tcBorders>
            <w:shd w:val="clear" w:color="000000" w:fill="FFFFFF"/>
            <w:noWrap/>
            <w:vAlign w:val="bottom"/>
            <w:hideMark/>
          </w:tcPr>
          <w:p w14:paraId="69F62993"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1677.18</w:t>
            </w:r>
          </w:p>
        </w:tc>
      </w:tr>
      <w:tr w:rsidR="00256060" w:rsidRPr="006705A4" w14:paraId="69F6299B" w14:textId="77777777" w:rsidTr="006705A4">
        <w:trPr>
          <w:trHeight w:val="300"/>
          <w:jc w:val="center"/>
        </w:trPr>
        <w:tc>
          <w:tcPr>
            <w:tcW w:w="2239" w:type="pct"/>
            <w:tcBorders>
              <w:top w:val="nil"/>
              <w:left w:val="nil"/>
              <w:bottom w:val="nil"/>
              <w:right w:val="nil"/>
            </w:tcBorders>
            <w:shd w:val="clear" w:color="000000" w:fill="FFFFFF"/>
            <w:noWrap/>
            <w:vAlign w:val="bottom"/>
            <w:hideMark/>
          </w:tcPr>
          <w:p w14:paraId="69F62995"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Employment density</w:t>
            </w:r>
          </w:p>
        </w:tc>
        <w:tc>
          <w:tcPr>
            <w:tcW w:w="432" w:type="pct"/>
            <w:tcBorders>
              <w:top w:val="nil"/>
              <w:left w:val="nil"/>
              <w:bottom w:val="nil"/>
              <w:right w:val="nil"/>
            </w:tcBorders>
            <w:shd w:val="clear" w:color="000000" w:fill="FFFFFF"/>
            <w:noWrap/>
            <w:vAlign w:val="bottom"/>
            <w:hideMark/>
          </w:tcPr>
          <w:p w14:paraId="69F62996"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9154</w:t>
            </w:r>
          </w:p>
        </w:tc>
        <w:tc>
          <w:tcPr>
            <w:tcW w:w="607" w:type="pct"/>
            <w:tcBorders>
              <w:top w:val="nil"/>
              <w:left w:val="nil"/>
              <w:bottom w:val="nil"/>
              <w:right w:val="nil"/>
            </w:tcBorders>
            <w:shd w:val="clear" w:color="000000" w:fill="FFFFFF"/>
            <w:noWrap/>
            <w:vAlign w:val="bottom"/>
            <w:hideMark/>
          </w:tcPr>
          <w:p w14:paraId="69F62997"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18.31</w:t>
            </w:r>
          </w:p>
        </w:tc>
        <w:tc>
          <w:tcPr>
            <w:tcW w:w="607" w:type="pct"/>
            <w:tcBorders>
              <w:top w:val="nil"/>
              <w:left w:val="nil"/>
              <w:bottom w:val="nil"/>
              <w:right w:val="nil"/>
            </w:tcBorders>
            <w:shd w:val="clear" w:color="000000" w:fill="FFFFFF"/>
            <w:noWrap/>
            <w:vAlign w:val="bottom"/>
            <w:hideMark/>
          </w:tcPr>
          <w:p w14:paraId="69F62998"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91.76</w:t>
            </w:r>
          </w:p>
        </w:tc>
        <w:tc>
          <w:tcPr>
            <w:tcW w:w="510" w:type="pct"/>
            <w:tcBorders>
              <w:top w:val="nil"/>
              <w:left w:val="nil"/>
              <w:bottom w:val="nil"/>
              <w:right w:val="nil"/>
            </w:tcBorders>
            <w:shd w:val="clear" w:color="000000" w:fill="FFFFFF"/>
            <w:noWrap/>
            <w:vAlign w:val="bottom"/>
            <w:hideMark/>
          </w:tcPr>
          <w:p w14:paraId="69F62999"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0.01</w:t>
            </w:r>
          </w:p>
        </w:tc>
        <w:tc>
          <w:tcPr>
            <w:tcW w:w="605" w:type="pct"/>
            <w:tcBorders>
              <w:top w:val="nil"/>
              <w:left w:val="nil"/>
              <w:bottom w:val="nil"/>
              <w:right w:val="nil"/>
            </w:tcBorders>
            <w:shd w:val="clear" w:color="000000" w:fill="FFFFFF"/>
            <w:noWrap/>
            <w:vAlign w:val="bottom"/>
            <w:hideMark/>
          </w:tcPr>
          <w:p w14:paraId="69F6299A"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2955.72</w:t>
            </w:r>
          </w:p>
        </w:tc>
      </w:tr>
      <w:tr w:rsidR="00256060" w:rsidRPr="006705A4" w14:paraId="69F629A2" w14:textId="77777777" w:rsidTr="006705A4">
        <w:trPr>
          <w:trHeight w:val="300"/>
          <w:jc w:val="center"/>
        </w:trPr>
        <w:tc>
          <w:tcPr>
            <w:tcW w:w="2239" w:type="pct"/>
            <w:tcBorders>
              <w:top w:val="nil"/>
              <w:left w:val="nil"/>
              <w:bottom w:val="nil"/>
              <w:right w:val="nil"/>
            </w:tcBorders>
            <w:shd w:val="clear" w:color="000000" w:fill="FFFFFF"/>
            <w:noWrap/>
            <w:vAlign w:val="bottom"/>
            <w:hideMark/>
          </w:tcPr>
          <w:p w14:paraId="69F6299C"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Maximum elevation</w:t>
            </w:r>
          </w:p>
        </w:tc>
        <w:tc>
          <w:tcPr>
            <w:tcW w:w="432" w:type="pct"/>
            <w:tcBorders>
              <w:top w:val="nil"/>
              <w:left w:val="nil"/>
              <w:bottom w:val="nil"/>
              <w:right w:val="nil"/>
            </w:tcBorders>
            <w:shd w:val="clear" w:color="000000" w:fill="FFFFFF"/>
            <w:noWrap/>
            <w:vAlign w:val="bottom"/>
            <w:hideMark/>
          </w:tcPr>
          <w:p w14:paraId="69F6299D"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9154</w:t>
            </w:r>
          </w:p>
        </w:tc>
        <w:tc>
          <w:tcPr>
            <w:tcW w:w="607" w:type="pct"/>
            <w:tcBorders>
              <w:top w:val="nil"/>
              <w:left w:val="nil"/>
              <w:bottom w:val="nil"/>
              <w:right w:val="nil"/>
            </w:tcBorders>
            <w:shd w:val="clear" w:color="000000" w:fill="FFFFFF"/>
            <w:noWrap/>
            <w:vAlign w:val="bottom"/>
            <w:hideMark/>
          </w:tcPr>
          <w:p w14:paraId="69F6299E"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74.09</w:t>
            </w:r>
          </w:p>
        </w:tc>
        <w:tc>
          <w:tcPr>
            <w:tcW w:w="607" w:type="pct"/>
            <w:tcBorders>
              <w:top w:val="nil"/>
              <w:left w:val="nil"/>
              <w:bottom w:val="nil"/>
              <w:right w:val="nil"/>
            </w:tcBorders>
            <w:shd w:val="clear" w:color="000000" w:fill="FFFFFF"/>
            <w:noWrap/>
            <w:vAlign w:val="bottom"/>
            <w:hideMark/>
          </w:tcPr>
          <w:p w14:paraId="69F6299F"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54.50</w:t>
            </w:r>
          </w:p>
        </w:tc>
        <w:tc>
          <w:tcPr>
            <w:tcW w:w="510" w:type="pct"/>
            <w:tcBorders>
              <w:top w:val="nil"/>
              <w:left w:val="nil"/>
              <w:bottom w:val="nil"/>
              <w:right w:val="nil"/>
            </w:tcBorders>
            <w:shd w:val="clear" w:color="000000" w:fill="FFFFFF"/>
            <w:noWrap/>
            <w:vAlign w:val="bottom"/>
            <w:hideMark/>
          </w:tcPr>
          <w:p w14:paraId="69F629A0"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w:t>
            </w:r>
          </w:p>
        </w:tc>
        <w:tc>
          <w:tcPr>
            <w:tcW w:w="605" w:type="pct"/>
            <w:tcBorders>
              <w:top w:val="nil"/>
              <w:left w:val="nil"/>
              <w:bottom w:val="nil"/>
              <w:right w:val="nil"/>
            </w:tcBorders>
            <w:shd w:val="clear" w:color="000000" w:fill="FFFFFF"/>
            <w:noWrap/>
            <w:vAlign w:val="bottom"/>
            <w:hideMark/>
          </w:tcPr>
          <w:p w14:paraId="69F629A1"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489.00</w:t>
            </w:r>
          </w:p>
        </w:tc>
      </w:tr>
      <w:tr w:rsidR="00256060" w:rsidRPr="006705A4" w14:paraId="69F629A9" w14:textId="77777777" w:rsidTr="006705A4">
        <w:trPr>
          <w:trHeight w:val="300"/>
          <w:jc w:val="center"/>
        </w:trPr>
        <w:tc>
          <w:tcPr>
            <w:tcW w:w="2239" w:type="pct"/>
            <w:tcBorders>
              <w:top w:val="nil"/>
              <w:left w:val="nil"/>
              <w:bottom w:val="nil"/>
              <w:right w:val="nil"/>
            </w:tcBorders>
            <w:shd w:val="clear" w:color="000000" w:fill="FFFFFF"/>
            <w:noWrap/>
            <w:vAlign w:val="bottom"/>
            <w:hideMark/>
          </w:tcPr>
          <w:p w14:paraId="69F629A3"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Distance to inland water by public transport</w:t>
            </w:r>
          </w:p>
        </w:tc>
        <w:tc>
          <w:tcPr>
            <w:tcW w:w="432" w:type="pct"/>
            <w:tcBorders>
              <w:top w:val="nil"/>
              <w:left w:val="nil"/>
              <w:bottom w:val="nil"/>
              <w:right w:val="nil"/>
            </w:tcBorders>
            <w:shd w:val="clear" w:color="000000" w:fill="FFFFFF"/>
            <w:noWrap/>
            <w:vAlign w:val="bottom"/>
            <w:hideMark/>
          </w:tcPr>
          <w:p w14:paraId="69F629A4"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9154</w:t>
            </w:r>
          </w:p>
        </w:tc>
        <w:tc>
          <w:tcPr>
            <w:tcW w:w="607" w:type="pct"/>
            <w:tcBorders>
              <w:top w:val="nil"/>
              <w:left w:val="nil"/>
              <w:bottom w:val="nil"/>
              <w:right w:val="nil"/>
            </w:tcBorders>
            <w:shd w:val="clear" w:color="000000" w:fill="FFFFFF"/>
            <w:noWrap/>
            <w:vAlign w:val="bottom"/>
            <w:hideMark/>
          </w:tcPr>
          <w:p w14:paraId="69F629A5"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77.65</w:t>
            </w:r>
          </w:p>
        </w:tc>
        <w:tc>
          <w:tcPr>
            <w:tcW w:w="607" w:type="pct"/>
            <w:tcBorders>
              <w:top w:val="nil"/>
              <w:left w:val="nil"/>
              <w:bottom w:val="nil"/>
              <w:right w:val="nil"/>
            </w:tcBorders>
            <w:shd w:val="clear" w:color="000000" w:fill="FFFFFF"/>
            <w:noWrap/>
            <w:vAlign w:val="bottom"/>
            <w:hideMark/>
          </w:tcPr>
          <w:p w14:paraId="69F629A6"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25.47</w:t>
            </w:r>
          </w:p>
        </w:tc>
        <w:tc>
          <w:tcPr>
            <w:tcW w:w="510" w:type="pct"/>
            <w:tcBorders>
              <w:top w:val="nil"/>
              <w:left w:val="nil"/>
              <w:bottom w:val="nil"/>
              <w:right w:val="nil"/>
            </w:tcBorders>
            <w:shd w:val="clear" w:color="000000" w:fill="FFFFFF"/>
            <w:noWrap/>
            <w:vAlign w:val="bottom"/>
            <w:hideMark/>
          </w:tcPr>
          <w:p w14:paraId="69F629A7"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2.60</w:t>
            </w:r>
          </w:p>
        </w:tc>
        <w:tc>
          <w:tcPr>
            <w:tcW w:w="605" w:type="pct"/>
            <w:tcBorders>
              <w:top w:val="nil"/>
              <w:left w:val="nil"/>
              <w:bottom w:val="nil"/>
              <w:right w:val="nil"/>
            </w:tcBorders>
            <w:shd w:val="clear" w:color="000000" w:fill="FFFFFF"/>
            <w:noWrap/>
            <w:vAlign w:val="bottom"/>
            <w:hideMark/>
          </w:tcPr>
          <w:p w14:paraId="69F629A8"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153.48</w:t>
            </w:r>
          </w:p>
        </w:tc>
      </w:tr>
      <w:tr w:rsidR="00256060" w:rsidRPr="006705A4" w14:paraId="69F629B0" w14:textId="77777777" w:rsidTr="006705A4">
        <w:trPr>
          <w:trHeight w:val="300"/>
          <w:jc w:val="center"/>
        </w:trPr>
        <w:tc>
          <w:tcPr>
            <w:tcW w:w="2239" w:type="pct"/>
            <w:tcBorders>
              <w:top w:val="nil"/>
              <w:left w:val="nil"/>
              <w:bottom w:val="nil"/>
              <w:right w:val="nil"/>
            </w:tcBorders>
            <w:shd w:val="clear" w:color="000000" w:fill="FFFFFF"/>
            <w:noWrap/>
            <w:vAlign w:val="bottom"/>
            <w:hideMark/>
          </w:tcPr>
          <w:p w14:paraId="69F629AA"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Distance to beach by public transport</w:t>
            </w:r>
          </w:p>
        </w:tc>
        <w:tc>
          <w:tcPr>
            <w:tcW w:w="432" w:type="pct"/>
            <w:tcBorders>
              <w:top w:val="nil"/>
              <w:left w:val="nil"/>
              <w:bottom w:val="nil"/>
              <w:right w:val="nil"/>
            </w:tcBorders>
            <w:shd w:val="clear" w:color="000000" w:fill="FFFFFF"/>
            <w:noWrap/>
            <w:vAlign w:val="bottom"/>
            <w:hideMark/>
          </w:tcPr>
          <w:p w14:paraId="69F629AB"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9154</w:t>
            </w:r>
          </w:p>
        </w:tc>
        <w:tc>
          <w:tcPr>
            <w:tcW w:w="607" w:type="pct"/>
            <w:tcBorders>
              <w:top w:val="nil"/>
              <w:left w:val="nil"/>
              <w:bottom w:val="nil"/>
              <w:right w:val="nil"/>
            </w:tcBorders>
            <w:shd w:val="clear" w:color="000000" w:fill="FFFFFF"/>
            <w:noWrap/>
            <w:vAlign w:val="bottom"/>
            <w:hideMark/>
          </w:tcPr>
          <w:p w14:paraId="69F629AC"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50.76</w:t>
            </w:r>
          </w:p>
        </w:tc>
        <w:tc>
          <w:tcPr>
            <w:tcW w:w="607" w:type="pct"/>
            <w:tcBorders>
              <w:top w:val="nil"/>
              <w:left w:val="nil"/>
              <w:bottom w:val="nil"/>
              <w:right w:val="nil"/>
            </w:tcBorders>
            <w:shd w:val="clear" w:color="000000" w:fill="FFFFFF"/>
            <w:noWrap/>
            <w:vAlign w:val="bottom"/>
            <w:hideMark/>
          </w:tcPr>
          <w:p w14:paraId="69F629AD"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27.69</w:t>
            </w:r>
          </w:p>
        </w:tc>
        <w:tc>
          <w:tcPr>
            <w:tcW w:w="510" w:type="pct"/>
            <w:tcBorders>
              <w:top w:val="nil"/>
              <w:left w:val="nil"/>
              <w:bottom w:val="nil"/>
              <w:right w:val="nil"/>
            </w:tcBorders>
            <w:shd w:val="clear" w:color="000000" w:fill="FFFFFF"/>
            <w:noWrap/>
            <w:vAlign w:val="bottom"/>
            <w:hideMark/>
          </w:tcPr>
          <w:p w14:paraId="69F629AE"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0.20</w:t>
            </w:r>
          </w:p>
        </w:tc>
        <w:tc>
          <w:tcPr>
            <w:tcW w:w="605" w:type="pct"/>
            <w:tcBorders>
              <w:top w:val="nil"/>
              <w:left w:val="nil"/>
              <w:bottom w:val="nil"/>
              <w:right w:val="nil"/>
            </w:tcBorders>
            <w:shd w:val="clear" w:color="000000" w:fill="FFFFFF"/>
            <w:noWrap/>
            <w:vAlign w:val="bottom"/>
            <w:hideMark/>
          </w:tcPr>
          <w:p w14:paraId="69F629AF"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118.86</w:t>
            </w:r>
          </w:p>
        </w:tc>
      </w:tr>
      <w:tr w:rsidR="00256060" w:rsidRPr="006705A4" w14:paraId="69F629B7" w14:textId="77777777" w:rsidTr="006705A4">
        <w:trPr>
          <w:trHeight w:val="300"/>
          <w:jc w:val="center"/>
        </w:trPr>
        <w:tc>
          <w:tcPr>
            <w:tcW w:w="2239" w:type="pct"/>
            <w:tcBorders>
              <w:top w:val="nil"/>
              <w:left w:val="nil"/>
              <w:bottom w:val="nil"/>
              <w:right w:val="nil"/>
            </w:tcBorders>
            <w:shd w:val="clear" w:color="000000" w:fill="FFFFFF"/>
            <w:noWrap/>
            <w:vAlign w:val="bottom"/>
            <w:hideMark/>
          </w:tcPr>
          <w:p w14:paraId="69F629B1"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Low-income population</w:t>
            </w:r>
          </w:p>
        </w:tc>
        <w:tc>
          <w:tcPr>
            <w:tcW w:w="432" w:type="pct"/>
            <w:tcBorders>
              <w:top w:val="nil"/>
              <w:left w:val="nil"/>
              <w:bottom w:val="nil"/>
              <w:right w:val="nil"/>
            </w:tcBorders>
            <w:shd w:val="clear" w:color="000000" w:fill="FFFFFF"/>
            <w:noWrap/>
            <w:vAlign w:val="bottom"/>
            <w:hideMark/>
          </w:tcPr>
          <w:p w14:paraId="69F629B2"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9154</w:t>
            </w:r>
          </w:p>
        </w:tc>
        <w:tc>
          <w:tcPr>
            <w:tcW w:w="607" w:type="pct"/>
            <w:tcBorders>
              <w:top w:val="nil"/>
              <w:left w:val="nil"/>
              <w:bottom w:val="nil"/>
              <w:right w:val="nil"/>
            </w:tcBorders>
            <w:shd w:val="clear" w:color="000000" w:fill="FFFFFF"/>
            <w:noWrap/>
            <w:vAlign w:val="bottom"/>
            <w:hideMark/>
          </w:tcPr>
          <w:p w14:paraId="69F629B3"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21%</w:t>
            </w:r>
          </w:p>
        </w:tc>
        <w:tc>
          <w:tcPr>
            <w:tcW w:w="607" w:type="pct"/>
            <w:tcBorders>
              <w:top w:val="nil"/>
              <w:left w:val="nil"/>
              <w:bottom w:val="nil"/>
              <w:right w:val="nil"/>
            </w:tcBorders>
            <w:shd w:val="clear" w:color="000000" w:fill="FFFFFF"/>
            <w:noWrap/>
            <w:vAlign w:val="bottom"/>
            <w:hideMark/>
          </w:tcPr>
          <w:p w14:paraId="69F629B4"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6%</w:t>
            </w:r>
          </w:p>
        </w:tc>
        <w:tc>
          <w:tcPr>
            <w:tcW w:w="510" w:type="pct"/>
            <w:tcBorders>
              <w:top w:val="nil"/>
              <w:left w:val="nil"/>
              <w:bottom w:val="nil"/>
              <w:right w:val="nil"/>
            </w:tcBorders>
            <w:shd w:val="clear" w:color="000000" w:fill="FFFFFF"/>
            <w:noWrap/>
            <w:vAlign w:val="bottom"/>
            <w:hideMark/>
          </w:tcPr>
          <w:p w14:paraId="69F629B5"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w:t>
            </w:r>
          </w:p>
        </w:tc>
        <w:tc>
          <w:tcPr>
            <w:tcW w:w="605" w:type="pct"/>
            <w:tcBorders>
              <w:top w:val="nil"/>
              <w:left w:val="nil"/>
              <w:bottom w:val="nil"/>
              <w:right w:val="nil"/>
            </w:tcBorders>
            <w:shd w:val="clear" w:color="000000" w:fill="FFFFFF"/>
            <w:noWrap/>
            <w:vAlign w:val="bottom"/>
            <w:hideMark/>
          </w:tcPr>
          <w:p w14:paraId="69F629B6"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73%</w:t>
            </w:r>
          </w:p>
        </w:tc>
      </w:tr>
      <w:tr w:rsidR="00256060" w:rsidRPr="006705A4" w14:paraId="69F629BE" w14:textId="77777777" w:rsidTr="006705A4">
        <w:trPr>
          <w:trHeight w:val="300"/>
          <w:jc w:val="center"/>
        </w:trPr>
        <w:tc>
          <w:tcPr>
            <w:tcW w:w="2239" w:type="pct"/>
            <w:tcBorders>
              <w:top w:val="nil"/>
              <w:left w:val="nil"/>
              <w:bottom w:val="nil"/>
              <w:right w:val="nil"/>
            </w:tcBorders>
            <w:shd w:val="clear" w:color="000000" w:fill="FFFFFF"/>
            <w:noWrap/>
            <w:vAlign w:val="bottom"/>
            <w:hideMark/>
          </w:tcPr>
          <w:p w14:paraId="69F629B8"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Indigenous population</w:t>
            </w:r>
          </w:p>
        </w:tc>
        <w:tc>
          <w:tcPr>
            <w:tcW w:w="432" w:type="pct"/>
            <w:tcBorders>
              <w:top w:val="nil"/>
              <w:left w:val="nil"/>
              <w:bottom w:val="nil"/>
              <w:right w:val="nil"/>
            </w:tcBorders>
            <w:shd w:val="clear" w:color="000000" w:fill="FFFFFF"/>
            <w:noWrap/>
            <w:vAlign w:val="bottom"/>
            <w:hideMark/>
          </w:tcPr>
          <w:p w14:paraId="69F629B9"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9154</w:t>
            </w:r>
          </w:p>
        </w:tc>
        <w:tc>
          <w:tcPr>
            <w:tcW w:w="607" w:type="pct"/>
            <w:tcBorders>
              <w:top w:val="nil"/>
              <w:left w:val="nil"/>
              <w:bottom w:val="nil"/>
              <w:right w:val="nil"/>
            </w:tcBorders>
            <w:shd w:val="clear" w:color="000000" w:fill="FFFFFF"/>
            <w:noWrap/>
            <w:vAlign w:val="bottom"/>
            <w:hideMark/>
          </w:tcPr>
          <w:p w14:paraId="69F629BA"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w:t>
            </w:r>
          </w:p>
        </w:tc>
        <w:tc>
          <w:tcPr>
            <w:tcW w:w="607" w:type="pct"/>
            <w:tcBorders>
              <w:top w:val="nil"/>
              <w:left w:val="nil"/>
              <w:bottom w:val="nil"/>
              <w:right w:val="nil"/>
            </w:tcBorders>
            <w:shd w:val="clear" w:color="000000" w:fill="FFFFFF"/>
            <w:noWrap/>
            <w:vAlign w:val="bottom"/>
            <w:hideMark/>
          </w:tcPr>
          <w:p w14:paraId="69F629BB"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w:t>
            </w:r>
          </w:p>
        </w:tc>
        <w:tc>
          <w:tcPr>
            <w:tcW w:w="510" w:type="pct"/>
            <w:tcBorders>
              <w:top w:val="nil"/>
              <w:left w:val="nil"/>
              <w:bottom w:val="nil"/>
              <w:right w:val="nil"/>
            </w:tcBorders>
            <w:shd w:val="clear" w:color="000000" w:fill="FFFFFF"/>
            <w:noWrap/>
            <w:vAlign w:val="bottom"/>
            <w:hideMark/>
          </w:tcPr>
          <w:p w14:paraId="69F629BC"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w:t>
            </w:r>
          </w:p>
        </w:tc>
        <w:tc>
          <w:tcPr>
            <w:tcW w:w="605" w:type="pct"/>
            <w:tcBorders>
              <w:top w:val="nil"/>
              <w:left w:val="nil"/>
              <w:bottom w:val="nil"/>
              <w:right w:val="nil"/>
            </w:tcBorders>
            <w:shd w:val="clear" w:color="000000" w:fill="FFFFFF"/>
            <w:noWrap/>
            <w:vAlign w:val="bottom"/>
            <w:hideMark/>
          </w:tcPr>
          <w:p w14:paraId="69F629BD"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93%</w:t>
            </w:r>
          </w:p>
        </w:tc>
      </w:tr>
      <w:tr w:rsidR="00256060" w:rsidRPr="006705A4" w14:paraId="69F629C5" w14:textId="77777777" w:rsidTr="006705A4">
        <w:trPr>
          <w:trHeight w:val="300"/>
          <w:jc w:val="center"/>
        </w:trPr>
        <w:tc>
          <w:tcPr>
            <w:tcW w:w="2239" w:type="pct"/>
            <w:tcBorders>
              <w:top w:val="nil"/>
              <w:left w:val="nil"/>
              <w:bottom w:val="nil"/>
              <w:right w:val="nil"/>
            </w:tcBorders>
            <w:shd w:val="clear" w:color="000000" w:fill="FFFFFF"/>
            <w:noWrap/>
            <w:vAlign w:val="bottom"/>
            <w:hideMark/>
          </w:tcPr>
          <w:p w14:paraId="69F629BF"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Population aged over 75</w:t>
            </w:r>
          </w:p>
        </w:tc>
        <w:tc>
          <w:tcPr>
            <w:tcW w:w="432" w:type="pct"/>
            <w:tcBorders>
              <w:top w:val="nil"/>
              <w:left w:val="nil"/>
              <w:bottom w:val="nil"/>
              <w:right w:val="nil"/>
            </w:tcBorders>
            <w:shd w:val="clear" w:color="000000" w:fill="FFFFFF"/>
            <w:noWrap/>
            <w:vAlign w:val="bottom"/>
            <w:hideMark/>
          </w:tcPr>
          <w:p w14:paraId="69F629C0"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9154</w:t>
            </w:r>
          </w:p>
        </w:tc>
        <w:tc>
          <w:tcPr>
            <w:tcW w:w="607" w:type="pct"/>
            <w:tcBorders>
              <w:top w:val="nil"/>
              <w:left w:val="nil"/>
              <w:bottom w:val="nil"/>
              <w:right w:val="nil"/>
            </w:tcBorders>
            <w:shd w:val="clear" w:color="000000" w:fill="FFFFFF"/>
            <w:noWrap/>
            <w:vAlign w:val="bottom"/>
            <w:hideMark/>
          </w:tcPr>
          <w:p w14:paraId="69F629C1"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6%</w:t>
            </w:r>
          </w:p>
        </w:tc>
        <w:tc>
          <w:tcPr>
            <w:tcW w:w="607" w:type="pct"/>
            <w:tcBorders>
              <w:top w:val="nil"/>
              <w:left w:val="nil"/>
              <w:bottom w:val="nil"/>
              <w:right w:val="nil"/>
            </w:tcBorders>
            <w:shd w:val="clear" w:color="000000" w:fill="FFFFFF"/>
            <w:noWrap/>
            <w:vAlign w:val="bottom"/>
            <w:hideMark/>
          </w:tcPr>
          <w:p w14:paraId="69F629C2"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6%</w:t>
            </w:r>
          </w:p>
        </w:tc>
        <w:tc>
          <w:tcPr>
            <w:tcW w:w="510" w:type="pct"/>
            <w:tcBorders>
              <w:top w:val="nil"/>
              <w:left w:val="nil"/>
              <w:bottom w:val="nil"/>
              <w:right w:val="nil"/>
            </w:tcBorders>
            <w:shd w:val="clear" w:color="000000" w:fill="FFFFFF"/>
            <w:noWrap/>
            <w:vAlign w:val="bottom"/>
            <w:hideMark/>
          </w:tcPr>
          <w:p w14:paraId="69F629C3"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w:t>
            </w:r>
          </w:p>
        </w:tc>
        <w:tc>
          <w:tcPr>
            <w:tcW w:w="605" w:type="pct"/>
            <w:tcBorders>
              <w:top w:val="nil"/>
              <w:left w:val="nil"/>
              <w:bottom w:val="nil"/>
              <w:right w:val="nil"/>
            </w:tcBorders>
            <w:shd w:val="clear" w:color="000000" w:fill="FFFFFF"/>
            <w:noWrap/>
            <w:vAlign w:val="bottom"/>
            <w:hideMark/>
          </w:tcPr>
          <w:p w14:paraId="69F629C4"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89%</w:t>
            </w:r>
          </w:p>
        </w:tc>
      </w:tr>
      <w:tr w:rsidR="00256060" w:rsidRPr="006705A4" w14:paraId="69F629CC" w14:textId="77777777" w:rsidTr="006705A4">
        <w:trPr>
          <w:trHeight w:val="300"/>
          <w:jc w:val="center"/>
        </w:trPr>
        <w:tc>
          <w:tcPr>
            <w:tcW w:w="2239" w:type="pct"/>
            <w:tcBorders>
              <w:top w:val="nil"/>
              <w:left w:val="nil"/>
              <w:bottom w:val="single" w:sz="4" w:space="0" w:color="auto"/>
              <w:right w:val="nil"/>
            </w:tcBorders>
            <w:shd w:val="clear" w:color="000000" w:fill="FFFFFF"/>
            <w:noWrap/>
            <w:vAlign w:val="bottom"/>
            <w:hideMark/>
          </w:tcPr>
          <w:p w14:paraId="69F629C6" w14:textId="77777777" w:rsidR="00256060" w:rsidRPr="006705A4" w:rsidRDefault="00256060" w:rsidP="00256060">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SEIFA</w:t>
            </w:r>
          </w:p>
        </w:tc>
        <w:tc>
          <w:tcPr>
            <w:tcW w:w="432" w:type="pct"/>
            <w:tcBorders>
              <w:top w:val="nil"/>
              <w:left w:val="nil"/>
              <w:bottom w:val="single" w:sz="4" w:space="0" w:color="auto"/>
              <w:right w:val="nil"/>
            </w:tcBorders>
            <w:shd w:val="clear" w:color="000000" w:fill="FFFFFF"/>
            <w:noWrap/>
            <w:vAlign w:val="bottom"/>
            <w:hideMark/>
          </w:tcPr>
          <w:p w14:paraId="69F629C7"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9154</w:t>
            </w:r>
          </w:p>
        </w:tc>
        <w:tc>
          <w:tcPr>
            <w:tcW w:w="607" w:type="pct"/>
            <w:tcBorders>
              <w:top w:val="nil"/>
              <w:left w:val="nil"/>
              <w:bottom w:val="single" w:sz="4" w:space="0" w:color="auto"/>
              <w:right w:val="nil"/>
            </w:tcBorders>
            <w:shd w:val="clear" w:color="000000" w:fill="FFFFFF"/>
            <w:noWrap/>
            <w:vAlign w:val="bottom"/>
            <w:hideMark/>
          </w:tcPr>
          <w:p w14:paraId="69F629C8"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1029</w:t>
            </w:r>
          </w:p>
        </w:tc>
        <w:tc>
          <w:tcPr>
            <w:tcW w:w="607" w:type="pct"/>
            <w:tcBorders>
              <w:top w:val="nil"/>
              <w:left w:val="nil"/>
              <w:bottom w:val="single" w:sz="4" w:space="0" w:color="auto"/>
              <w:right w:val="nil"/>
            </w:tcBorders>
            <w:shd w:val="clear" w:color="000000" w:fill="FFFFFF"/>
            <w:noWrap/>
            <w:vAlign w:val="bottom"/>
            <w:hideMark/>
          </w:tcPr>
          <w:p w14:paraId="69F629C9"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107</w:t>
            </w:r>
          </w:p>
        </w:tc>
        <w:tc>
          <w:tcPr>
            <w:tcW w:w="510" w:type="pct"/>
            <w:tcBorders>
              <w:top w:val="nil"/>
              <w:left w:val="nil"/>
              <w:bottom w:val="single" w:sz="4" w:space="0" w:color="auto"/>
              <w:right w:val="nil"/>
            </w:tcBorders>
            <w:shd w:val="clear" w:color="000000" w:fill="FFFFFF"/>
            <w:noWrap/>
            <w:vAlign w:val="bottom"/>
            <w:hideMark/>
          </w:tcPr>
          <w:p w14:paraId="69F629CA"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456</w:t>
            </w:r>
          </w:p>
        </w:tc>
        <w:tc>
          <w:tcPr>
            <w:tcW w:w="605" w:type="pct"/>
            <w:tcBorders>
              <w:top w:val="nil"/>
              <w:left w:val="nil"/>
              <w:bottom w:val="single" w:sz="4" w:space="0" w:color="auto"/>
              <w:right w:val="nil"/>
            </w:tcBorders>
            <w:shd w:val="clear" w:color="000000" w:fill="FFFFFF"/>
            <w:noWrap/>
            <w:vAlign w:val="bottom"/>
            <w:hideMark/>
          </w:tcPr>
          <w:p w14:paraId="69F629CB" w14:textId="77777777" w:rsidR="00256060" w:rsidRPr="006705A4" w:rsidRDefault="00256060" w:rsidP="00256060">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1234</w:t>
            </w:r>
          </w:p>
        </w:tc>
      </w:tr>
    </w:tbl>
    <w:p w14:paraId="69F629CD" w14:textId="77777777" w:rsidR="00E71B1A" w:rsidRDefault="00E71B1A" w:rsidP="002365CD">
      <w:pPr>
        <w:pStyle w:val="Heading1"/>
      </w:pPr>
      <w:r w:rsidRPr="00E71B1A">
        <w:lastRenderedPageBreak/>
        <w:t>Results</w:t>
      </w:r>
    </w:p>
    <w:p w14:paraId="69F629CE" w14:textId="77777777" w:rsidR="00433B14" w:rsidRDefault="00FF3324" w:rsidP="00433B14">
      <w:pPr>
        <w:rPr>
          <w:lang w:val="en-US"/>
        </w:rPr>
      </w:pPr>
      <w:r>
        <w:rPr>
          <w:lang w:val="en-US"/>
        </w:rPr>
        <w:t>The evidence for the question as to whether there is a mismatch between supply and demand is addressed descriptively in Section 4.1 where maps of public transport accessibility or supply, as described by PTALs, are compared with potential drivers of demand.</w:t>
      </w:r>
    </w:p>
    <w:p w14:paraId="69F629CF" w14:textId="77777777" w:rsidR="00FF3324" w:rsidRDefault="00FF3324" w:rsidP="00FF3324">
      <w:pPr>
        <w:pStyle w:val="Heading2"/>
        <w:numPr>
          <w:ilvl w:val="1"/>
          <w:numId w:val="9"/>
        </w:numPr>
        <w:ind w:left="284" w:hanging="284"/>
      </w:pPr>
      <w:r w:rsidRPr="00FF3324">
        <w:t>Spatial matching of Supply and Demand</w:t>
      </w:r>
    </w:p>
    <w:p w14:paraId="69F629D0" w14:textId="77777777" w:rsidR="00435775" w:rsidRDefault="00FF3324" w:rsidP="00FF3324">
      <w:pPr>
        <w:rPr>
          <w:lang w:val="en-US"/>
        </w:rPr>
      </w:pPr>
      <w:r>
        <w:rPr>
          <w:lang w:val="en-US"/>
        </w:rPr>
        <w:t>Figure 1 shows</w:t>
      </w:r>
      <w:r w:rsidR="00A12749">
        <w:rPr>
          <w:lang w:val="en-US"/>
        </w:rPr>
        <w:t xml:space="preserve"> five maps.</w:t>
      </w:r>
      <w:r w:rsidR="00181C01">
        <w:rPr>
          <w:lang w:val="en-US"/>
        </w:rPr>
        <w:t xml:space="preserve"> </w:t>
      </w:r>
      <w:r w:rsidR="00A12749">
        <w:rPr>
          <w:lang w:val="en-US"/>
        </w:rPr>
        <w:t>The top two maps are indicative of public transport accessibility, as determined by the PTAL</w:t>
      </w:r>
      <w:r w:rsidR="008F3AB3">
        <w:rPr>
          <w:lang w:val="en-US"/>
        </w:rPr>
        <w:t xml:space="preserve"> for a peak hour period </w:t>
      </w:r>
      <w:r w:rsidR="00997513">
        <w:rPr>
          <w:lang w:val="en-US"/>
        </w:rPr>
        <w:t xml:space="preserve">on the left </w:t>
      </w:r>
      <w:r w:rsidR="008F3AB3">
        <w:rPr>
          <w:lang w:val="en-US"/>
        </w:rPr>
        <w:t>and an off-peak hour period</w:t>
      </w:r>
      <w:r w:rsidR="00997513">
        <w:rPr>
          <w:lang w:val="en-US"/>
        </w:rPr>
        <w:t xml:space="preserve"> on the right</w:t>
      </w:r>
      <w:r w:rsidR="008F3AB3">
        <w:rPr>
          <w:lang w:val="en-US"/>
        </w:rPr>
        <w:t>.</w:t>
      </w:r>
      <w:r w:rsidR="00181C01">
        <w:rPr>
          <w:lang w:val="en-US"/>
        </w:rPr>
        <w:t xml:space="preserve"> </w:t>
      </w:r>
      <w:r w:rsidR="00316C68">
        <w:rPr>
          <w:lang w:val="en-US"/>
        </w:rPr>
        <w:t xml:space="preserve">The blue areas are low or very poor accessibility whereas the red areas are high or very good accessibility </w:t>
      </w:r>
      <w:r w:rsidR="00997513">
        <w:rPr>
          <w:lang w:val="en-US"/>
        </w:rPr>
        <w:t xml:space="preserve">to </w:t>
      </w:r>
      <w:r w:rsidR="00316C68">
        <w:rPr>
          <w:lang w:val="en-US"/>
        </w:rPr>
        <w:t xml:space="preserve">public transport. </w:t>
      </w:r>
      <w:r w:rsidR="00435775">
        <w:rPr>
          <w:lang w:val="en-US"/>
        </w:rPr>
        <w:t>Comparing the top two maps with each other, the anticipated reduction in excellent accessibility in the off-peak period can be observed as a reduction in areas of red colour.</w:t>
      </w:r>
    </w:p>
    <w:p w14:paraId="69F629D1" w14:textId="444DD27D" w:rsidR="00D87F06" w:rsidRDefault="008F3AB3" w:rsidP="00FF3324">
      <w:pPr>
        <w:rPr>
          <w:lang w:val="en-US"/>
        </w:rPr>
      </w:pPr>
      <w:r>
        <w:rPr>
          <w:lang w:val="en-US"/>
        </w:rPr>
        <w:t xml:space="preserve">The bottom row provides </w:t>
      </w:r>
      <w:r w:rsidR="00C83040">
        <w:rPr>
          <w:lang w:val="en-US"/>
        </w:rPr>
        <w:t xml:space="preserve">two </w:t>
      </w:r>
      <w:r>
        <w:rPr>
          <w:lang w:val="en-US"/>
        </w:rPr>
        <w:t>maps</w:t>
      </w:r>
      <w:r w:rsidR="00316C68">
        <w:rPr>
          <w:lang w:val="en-US"/>
        </w:rPr>
        <w:t>, presenting the spati</w:t>
      </w:r>
      <w:r w:rsidR="00435775">
        <w:rPr>
          <w:lang w:val="en-US"/>
        </w:rPr>
        <w:t xml:space="preserve">al distribution of low income </w:t>
      </w:r>
      <w:r w:rsidR="00316C68">
        <w:rPr>
          <w:lang w:val="en-US"/>
        </w:rPr>
        <w:t>population in different ways.</w:t>
      </w:r>
      <w:r w:rsidR="00181C01">
        <w:rPr>
          <w:lang w:val="en-US"/>
        </w:rPr>
        <w:t xml:space="preserve"> </w:t>
      </w:r>
      <w:r w:rsidR="00316C68">
        <w:rPr>
          <w:lang w:val="en-US"/>
        </w:rPr>
        <w:t xml:space="preserve">The </w:t>
      </w:r>
      <w:r w:rsidR="00C83040">
        <w:rPr>
          <w:lang w:val="en-US"/>
        </w:rPr>
        <w:t xml:space="preserve">right hand side </w:t>
      </w:r>
      <w:r w:rsidR="00316C68">
        <w:rPr>
          <w:lang w:val="en-US"/>
        </w:rPr>
        <w:t>map presents the absolute numbers of low income population in each SA1</w:t>
      </w:r>
      <w:r w:rsidR="00C83040">
        <w:rPr>
          <w:lang w:val="en-US"/>
        </w:rPr>
        <w:t xml:space="preserve"> and the left hand side</w:t>
      </w:r>
      <w:r w:rsidR="00316C68">
        <w:rPr>
          <w:lang w:val="en-US"/>
        </w:rPr>
        <w:t xml:space="preserve">, map presenting the spatial distribution of low income population as a </w:t>
      </w:r>
      <w:r w:rsidR="00C83040">
        <w:rPr>
          <w:lang w:val="en-US"/>
        </w:rPr>
        <w:t xml:space="preserve">percentage </w:t>
      </w:r>
      <w:r w:rsidR="00316C68">
        <w:rPr>
          <w:lang w:val="en-US"/>
        </w:rPr>
        <w:t>of all population in the SA1.</w:t>
      </w:r>
      <w:r w:rsidR="00181C01">
        <w:rPr>
          <w:lang w:val="en-US"/>
        </w:rPr>
        <w:t xml:space="preserve"> </w:t>
      </w:r>
      <w:r w:rsidR="00316C68">
        <w:rPr>
          <w:lang w:val="en-US"/>
        </w:rPr>
        <w:t>In each of the maps on the bottom row, blue indicates low presence moving to red where the presence of low income households, whether controlled for by area or population, is high.</w:t>
      </w:r>
      <w:r w:rsidR="00D87F06">
        <w:rPr>
          <w:lang w:val="en-US"/>
        </w:rPr>
        <w:t xml:space="preserve"> </w:t>
      </w:r>
    </w:p>
    <w:p w14:paraId="69F629D2" w14:textId="77777777" w:rsidR="00D87F06" w:rsidRDefault="00D87F06" w:rsidP="00FF3324">
      <w:pPr>
        <w:rPr>
          <w:lang w:val="en-US"/>
        </w:rPr>
      </w:pPr>
      <w:r>
        <w:rPr>
          <w:lang w:val="en-US"/>
        </w:rPr>
        <w:t xml:space="preserve">If there was no spatial mismatch, high </w:t>
      </w:r>
      <w:r w:rsidR="00435775">
        <w:rPr>
          <w:lang w:val="en-US"/>
        </w:rPr>
        <w:t xml:space="preserve">potential </w:t>
      </w:r>
      <w:r>
        <w:rPr>
          <w:lang w:val="en-US"/>
        </w:rPr>
        <w:t>demand represented by red areas on the bottom row would be matched by red areas of supply on the top row.</w:t>
      </w:r>
      <w:r w:rsidR="00181C01">
        <w:rPr>
          <w:lang w:val="en-US"/>
        </w:rPr>
        <w:t xml:space="preserve"> </w:t>
      </w:r>
      <w:r>
        <w:rPr>
          <w:lang w:val="en-US"/>
        </w:rPr>
        <w:t>However, the bottom row shows substantial variation between the maps, identifying that it is difficult to propose a single measure of demand</w:t>
      </w:r>
      <w:r w:rsidR="00435775">
        <w:rPr>
          <w:lang w:val="en-US"/>
        </w:rPr>
        <w:t xml:space="preserve"> and that each map needs to be considered in turn.</w:t>
      </w:r>
    </w:p>
    <w:p w14:paraId="69F629D3" w14:textId="1059301F" w:rsidR="00E81006" w:rsidRDefault="00435775" w:rsidP="00FF3324">
      <w:pPr>
        <w:rPr>
          <w:lang w:val="en-US"/>
        </w:rPr>
      </w:pPr>
      <w:r>
        <w:rPr>
          <w:lang w:val="en-US"/>
        </w:rPr>
        <w:t xml:space="preserve">In terms of absolute numbers of low income population, the supply and demand is generally quite well matched with </w:t>
      </w:r>
      <w:r w:rsidR="00C83040">
        <w:rPr>
          <w:lang w:val="en-US"/>
        </w:rPr>
        <w:t>areas of higher absolute numbers of low income people being associated with areas of red on the supply side. PTAL maps.  The map showing low</w:t>
      </w:r>
      <w:r w:rsidR="007044B9">
        <w:rPr>
          <w:lang w:val="en-US"/>
        </w:rPr>
        <w:t xml:space="preserve"> income population </w:t>
      </w:r>
      <w:r w:rsidR="00C83040">
        <w:rPr>
          <w:lang w:val="en-US"/>
        </w:rPr>
        <w:t>as a percentage</w:t>
      </w:r>
      <w:r w:rsidR="007044B9">
        <w:rPr>
          <w:lang w:val="en-US"/>
        </w:rPr>
        <w:t xml:space="preserve"> of population shows some more worrying trends.</w:t>
      </w:r>
      <w:r w:rsidR="00181C01">
        <w:rPr>
          <w:lang w:val="en-US"/>
        </w:rPr>
        <w:t xml:space="preserve"> </w:t>
      </w:r>
      <w:r w:rsidR="002B0FDC">
        <w:rPr>
          <w:lang w:val="en-US"/>
        </w:rPr>
        <w:t>The left hand side</w:t>
      </w:r>
      <w:r w:rsidR="007044B9">
        <w:rPr>
          <w:lang w:val="en-US"/>
        </w:rPr>
        <w:t xml:space="preserve"> map </w:t>
      </w:r>
      <w:r w:rsidR="002B0FDC">
        <w:rPr>
          <w:lang w:val="en-US"/>
        </w:rPr>
        <w:t>shows</w:t>
      </w:r>
      <w:r w:rsidR="007044B9">
        <w:rPr>
          <w:lang w:val="en-US"/>
        </w:rPr>
        <w:t xml:space="preserve"> spatial mismatch in a more concentrated way </w:t>
      </w:r>
      <w:r w:rsidR="00C83040">
        <w:rPr>
          <w:lang w:val="en-US"/>
        </w:rPr>
        <w:t>in some of the south west areas of the metropolitan area and on the periphery of the metropolitan area</w:t>
      </w:r>
      <w:r w:rsidR="002B0FDC">
        <w:rPr>
          <w:lang w:val="en-US"/>
        </w:rPr>
        <w:t>, in both peak and off-peak times</w:t>
      </w:r>
      <w:r w:rsidR="007044B9">
        <w:rPr>
          <w:lang w:val="en-US"/>
        </w:rPr>
        <w:t>.</w:t>
      </w:r>
      <w:r w:rsidR="00181C01">
        <w:rPr>
          <w:lang w:val="en-US"/>
        </w:rPr>
        <w:t xml:space="preserve"> </w:t>
      </w:r>
      <w:r w:rsidR="007044B9">
        <w:rPr>
          <w:lang w:val="en-US"/>
        </w:rPr>
        <w:t xml:space="preserve">This would suggest that low income people in </w:t>
      </w:r>
      <w:r w:rsidR="002B0FDC">
        <w:rPr>
          <w:lang w:val="en-US"/>
        </w:rPr>
        <w:t>these areas</w:t>
      </w:r>
      <w:r w:rsidR="007044B9">
        <w:rPr>
          <w:lang w:val="en-US"/>
        </w:rPr>
        <w:t xml:space="preserve"> may well be constrained for economic inclusion through access to public transport for journey to work purposes</w:t>
      </w:r>
      <w:r w:rsidR="002B0FDC">
        <w:rPr>
          <w:lang w:val="en-US"/>
        </w:rPr>
        <w:t xml:space="preserve"> as well as journeys in the off-peak that might be more socially based.</w:t>
      </w:r>
      <w:r w:rsidR="007044B9">
        <w:rPr>
          <w:lang w:val="en-US"/>
        </w:rPr>
        <w:t>.</w:t>
      </w:r>
      <w:r>
        <w:rPr>
          <w:lang w:val="en-US"/>
        </w:rPr>
        <w:t xml:space="preserve"> </w:t>
      </w:r>
    </w:p>
    <w:p w14:paraId="71C811C0" w14:textId="77777777" w:rsidR="00E81006" w:rsidRDefault="00E81006">
      <w:pPr>
        <w:rPr>
          <w:lang w:val="en-US"/>
        </w:rPr>
      </w:pPr>
      <w:r>
        <w:rPr>
          <w:lang w:val="en-US"/>
        </w:rPr>
        <w:br w:type="page"/>
      </w:r>
    </w:p>
    <w:p w14:paraId="788ADEBF" w14:textId="3FB4C435" w:rsidR="00435775" w:rsidRDefault="00C83040" w:rsidP="00FF3324">
      <w:pPr>
        <w:rPr>
          <w:lang w:val="en-US"/>
        </w:rPr>
      </w:pPr>
      <w:r w:rsidRPr="00C83040">
        <w:rPr>
          <w:noProof/>
          <w:lang w:eastAsia="en-AU"/>
        </w:rPr>
        <w:lastRenderedPageBreak/>
        <w:drawing>
          <wp:inline distT="0" distB="0" distL="0" distR="0" wp14:anchorId="14D7F98D" wp14:editId="1B24B464">
            <wp:extent cx="6445666" cy="96399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48025" cy="9643464"/>
                    </a:xfrm>
                    <a:prstGeom prst="rect">
                      <a:avLst/>
                    </a:prstGeom>
                  </pic:spPr>
                </pic:pic>
              </a:graphicData>
            </a:graphic>
          </wp:inline>
        </w:drawing>
      </w:r>
    </w:p>
    <w:p w14:paraId="29B5FB76" w14:textId="77777777" w:rsidR="002B0FDC" w:rsidRDefault="002B0FDC" w:rsidP="00997513">
      <w:pPr>
        <w:rPr>
          <w:lang w:val="en-US"/>
        </w:rPr>
      </w:pPr>
      <w:r>
        <w:rPr>
          <w:noProof/>
          <w:lang w:eastAsia="en-AU"/>
        </w:rPr>
        <w:lastRenderedPageBreak/>
        <w:drawing>
          <wp:inline distT="0" distB="0" distL="0" distR="0" wp14:anchorId="14B54EF2" wp14:editId="58AB8B74">
            <wp:extent cx="6296025" cy="8963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670" b="1128"/>
                    <a:stretch/>
                  </pic:blipFill>
                  <pic:spPr bwMode="auto">
                    <a:xfrm>
                      <a:off x="0" y="0"/>
                      <a:ext cx="6573600" cy="9360000"/>
                    </a:xfrm>
                    <a:prstGeom prst="rect">
                      <a:avLst/>
                    </a:prstGeom>
                    <a:ln>
                      <a:noFill/>
                    </a:ln>
                    <a:extLst>
                      <a:ext uri="{53640926-AAD7-44D8-BBD7-CCE9431645EC}">
                        <a14:shadowObscured xmlns:a14="http://schemas.microsoft.com/office/drawing/2010/main"/>
                      </a:ext>
                    </a:extLst>
                  </pic:spPr>
                </pic:pic>
              </a:graphicData>
            </a:graphic>
          </wp:inline>
        </w:drawing>
      </w:r>
    </w:p>
    <w:p w14:paraId="5A19A986" w14:textId="0976CED8" w:rsidR="002B0FDC" w:rsidRDefault="002B0FDC" w:rsidP="00997513">
      <w:pPr>
        <w:rPr>
          <w:lang w:val="en-US"/>
        </w:rPr>
      </w:pPr>
      <w:r w:rsidRPr="002B0FDC">
        <w:rPr>
          <w:noProof/>
          <w:lang w:eastAsia="en-AU"/>
        </w:rPr>
        <w:lastRenderedPageBreak/>
        <w:drawing>
          <wp:inline distT="0" distB="0" distL="0" distR="0" wp14:anchorId="2DE9F19D" wp14:editId="134E831E">
            <wp:extent cx="6727025" cy="942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74"/>
                    <a:stretch/>
                  </pic:blipFill>
                  <pic:spPr bwMode="auto">
                    <a:xfrm>
                      <a:off x="0" y="0"/>
                      <a:ext cx="6727985" cy="9431095"/>
                    </a:xfrm>
                    <a:prstGeom prst="rect">
                      <a:avLst/>
                    </a:prstGeom>
                    <a:ln>
                      <a:noFill/>
                    </a:ln>
                    <a:extLst>
                      <a:ext uri="{53640926-AAD7-44D8-BBD7-CCE9431645EC}">
                        <a14:shadowObscured xmlns:a14="http://schemas.microsoft.com/office/drawing/2010/main"/>
                      </a:ext>
                    </a:extLst>
                  </pic:spPr>
                </pic:pic>
              </a:graphicData>
            </a:graphic>
          </wp:inline>
        </w:drawing>
      </w:r>
    </w:p>
    <w:p w14:paraId="69F629D4" w14:textId="1FA75075" w:rsidR="00997513" w:rsidRDefault="00997513" w:rsidP="00997513">
      <w:pPr>
        <w:rPr>
          <w:lang w:val="en-US"/>
        </w:rPr>
      </w:pPr>
      <w:r>
        <w:rPr>
          <w:lang w:val="en-US"/>
        </w:rPr>
        <w:lastRenderedPageBreak/>
        <w:t>Figure 2 has the same basic layout as for Figure 1 with supply being shown on the top row as accessibility to public transport with the bottom row showing data for older people, defined as aged 75 or more. The top row maps showing accessibility are the same as for Figure 1, reproduced again to facilitate comparison. In terms of absolute numbers</w:t>
      </w:r>
      <w:r w:rsidR="002B0FDC">
        <w:rPr>
          <w:lang w:val="en-US"/>
        </w:rPr>
        <w:t xml:space="preserve"> in the map on the right</w:t>
      </w:r>
      <w:r>
        <w:rPr>
          <w:lang w:val="en-US"/>
        </w:rPr>
        <w:t>, the absolute number of older people is better matched with the peak period supply than the off-peak supply</w:t>
      </w:r>
      <w:r w:rsidR="002B0FDC">
        <w:rPr>
          <w:lang w:val="en-US"/>
        </w:rPr>
        <w:t>.  This is in contrast with the needs of older people who would more likely want to travel in the off-peak period.</w:t>
      </w:r>
      <w:r>
        <w:rPr>
          <w:lang w:val="en-US"/>
        </w:rPr>
        <w:t xml:space="preserve"> This is reinforced by </w:t>
      </w:r>
      <w:r w:rsidR="002B0FDC">
        <w:rPr>
          <w:lang w:val="en-US"/>
        </w:rPr>
        <w:t>the left hand side</w:t>
      </w:r>
      <w:r>
        <w:rPr>
          <w:lang w:val="en-US"/>
        </w:rPr>
        <w:t xml:space="preserve"> map for the number of older people </w:t>
      </w:r>
      <w:r w:rsidR="002B0FDC">
        <w:rPr>
          <w:lang w:val="en-US"/>
        </w:rPr>
        <w:t>as a percentage</w:t>
      </w:r>
      <w:r>
        <w:rPr>
          <w:lang w:val="en-US"/>
        </w:rPr>
        <w:t xml:space="preserve"> population</w:t>
      </w:r>
      <w:r w:rsidR="002B0FDC">
        <w:rPr>
          <w:lang w:val="en-US"/>
        </w:rPr>
        <w:t xml:space="preserve">, which again shows mismatch at the periphery. </w:t>
      </w:r>
      <w:r>
        <w:rPr>
          <w:lang w:val="en-US"/>
        </w:rPr>
        <w:t xml:space="preserve">. </w:t>
      </w:r>
    </w:p>
    <w:p w14:paraId="69F629D5" w14:textId="06B61BCF" w:rsidR="00997513" w:rsidRDefault="00997513" w:rsidP="00997513">
      <w:pPr>
        <w:rPr>
          <w:lang w:val="en-US"/>
        </w:rPr>
      </w:pPr>
      <w:r>
        <w:rPr>
          <w:lang w:val="en-US"/>
        </w:rPr>
        <w:t xml:space="preserve">Figure 3 again has the same basic layout as for Figure 1 with the upper row of maps representing supply and the bottom row showing data for the indigenous population. The indigenous population is recognized as being of low income, often unemployed and with high risk of social exclusion. It might be expected therefore that the maps on the bottom row of Figure 3 would show some similarities with Figure 1. However, there is much more of a clear spatial mismatch here between the supply and areas of high indigenous population whether </w:t>
      </w:r>
      <w:r w:rsidR="002B0FDC">
        <w:rPr>
          <w:lang w:val="en-US"/>
        </w:rPr>
        <w:t xml:space="preserve"> considering</w:t>
      </w:r>
      <w:r>
        <w:rPr>
          <w:lang w:val="en-US"/>
        </w:rPr>
        <w:t xml:space="preserve"> absolute numbers</w:t>
      </w:r>
      <w:r w:rsidR="002B0FDC">
        <w:rPr>
          <w:lang w:val="en-US"/>
        </w:rPr>
        <w:t xml:space="preserve"> (right hand side of the map)</w:t>
      </w:r>
      <w:r>
        <w:rPr>
          <w:lang w:val="en-US"/>
        </w:rPr>
        <w:t xml:space="preserve"> or whether the number of indigenous population are standardized by area.</w:t>
      </w:r>
      <w:r w:rsidR="002B0FDC">
        <w:rPr>
          <w:lang w:val="en-US"/>
        </w:rPr>
        <w:t xml:space="preserve"> </w:t>
      </w:r>
      <w:r w:rsidR="00670F86">
        <w:rPr>
          <w:lang w:val="en-US"/>
        </w:rPr>
        <w:t xml:space="preserve"> </w:t>
      </w:r>
    </w:p>
    <w:p w14:paraId="69F629D6" w14:textId="5B4E8476" w:rsidR="00997513" w:rsidRDefault="00997513" w:rsidP="00997513">
      <w:pPr>
        <w:rPr>
          <w:lang w:val="en-US"/>
        </w:rPr>
      </w:pPr>
      <w:r>
        <w:rPr>
          <w:lang w:val="en-US"/>
        </w:rPr>
        <w:t xml:space="preserve">These </w:t>
      </w:r>
      <w:r w:rsidR="00670F86">
        <w:rPr>
          <w:lang w:val="en-US"/>
        </w:rPr>
        <w:t>three</w:t>
      </w:r>
      <w:r>
        <w:rPr>
          <w:lang w:val="en-US"/>
        </w:rPr>
        <w:t xml:space="preserve"> figures show a fraction of the potential drivers of demand. However, for three groups of population that are typically thought of as disadvantaged, it is clear that there are causes for concern for horizontal equity. If all population groups had the same treatment through the network planning guidelines that have delivered the supply or accessibility to public transport, then we should see similar spatial matches or mismatches between all these maps.</w:t>
      </w:r>
      <w:r w:rsidR="00670F86">
        <w:rPr>
          <w:lang w:val="en-US"/>
        </w:rPr>
        <w:t xml:space="preserve"> Thus there is some evidence of a lack of horizontal equity.</w:t>
      </w:r>
      <w:r w:rsidR="002B0FDC">
        <w:rPr>
          <w:lang w:val="en-US"/>
        </w:rPr>
        <w:t xml:space="preserve"> It should however be noted that these three groups of population are very different in size.  The absolute numbers vary from </w:t>
      </w:r>
      <w:r w:rsidR="00A9215A">
        <w:rPr>
          <w:lang w:val="en-US"/>
        </w:rPr>
        <w:t>between 51-120 for red for the indigenous population, from 501 to over 1300 for red for older people and for over 500 for red for the low income population.  This does not negate the observation for a lack of horizontal equity but it may be a policy decision that to provide service for small numbers, even of disadvantaged populations, may cost more than it provides benefits.</w:t>
      </w:r>
    </w:p>
    <w:p w14:paraId="69F629D7" w14:textId="77777777" w:rsidR="00997513" w:rsidRDefault="00997513" w:rsidP="00FF3324">
      <w:pPr>
        <w:rPr>
          <w:lang w:val="en-US"/>
        </w:rPr>
      </w:pPr>
      <w:r>
        <w:rPr>
          <w:lang w:val="en-US"/>
        </w:rPr>
        <w:t xml:space="preserve">However, the scale and the need to ‘eyeball’ the maps is a constraint on providing an evidence base for potential mismatch of supply and demand. More importantly, this descriptive approach has only allowed for one variable at a time to be considered and the determination of supply, as with demand, is multi-dimensional. </w:t>
      </w:r>
      <w:r w:rsidR="00670F86">
        <w:rPr>
          <w:lang w:val="en-US"/>
        </w:rPr>
        <w:t xml:space="preserve">Many other variables could be considered as being indicative of disadvantage, for example unemployed, disabled. </w:t>
      </w:r>
      <w:r>
        <w:rPr>
          <w:lang w:val="en-US"/>
        </w:rPr>
        <w:t xml:space="preserve">For this reason, a modelling approach is taken next to link the accessibility to public transport service to a number of quantitative factors simultaneously. </w:t>
      </w:r>
    </w:p>
    <w:p w14:paraId="69F629E0" w14:textId="77777777" w:rsidR="006705A4" w:rsidRDefault="006705A4" w:rsidP="00382A2A">
      <w:pPr>
        <w:rPr>
          <w:lang w:val="en-US"/>
        </w:rPr>
        <w:sectPr w:rsidR="006705A4" w:rsidSect="00083851">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69F629E1" w14:textId="77777777" w:rsidR="001E76A9" w:rsidRDefault="001E76A9" w:rsidP="006705A4">
      <w:pPr>
        <w:pStyle w:val="Heading2"/>
        <w:numPr>
          <w:ilvl w:val="1"/>
          <w:numId w:val="9"/>
        </w:numPr>
        <w:ind w:left="284" w:hanging="284"/>
      </w:pPr>
      <w:r>
        <w:lastRenderedPageBreak/>
        <w:t>Modelling Results</w:t>
      </w:r>
    </w:p>
    <w:p w14:paraId="69F629E2" w14:textId="77777777" w:rsidR="00F10FAA" w:rsidRDefault="004B2386" w:rsidP="004B2386">
      <w:pPr>
        <w:rPr>
          <w:lang w:eastAsia="zh-CN"/>
        </w:rPr>
      </w:pPr>
      <w:r w:rsidRPr="00A44AFE">
        <w:rPr>
          <w:lang w:eastAsia="zh-CN"/>
        </w:rPr>
        <w:t xml:space="preserve">The final model results for </w:t>
      </w:r>
      <w:r w:rsidR="0075658B">
        <w:rPr>
          <w:lang w:eastAsia="zh-CN"/>
        </w:rPr>
        <w:t>peak-hour and off-peak public transport supply (PTAL)</w:t>
      </w:r>
      <w:r w:rsidRPr="00A44AFE">
        <w:rPr>
          <w:lang w:eastAsia="zh-CN"/>
        </w:rPr>
        <w:t xml:space="preserve"> are </w:t>
      </w:r>
      <w:r w:rsidR="00920422" w:rsidRPr="00A44AFE">
        <w:rPr>
          <w:lang w:eastAsia="zh-CN"/>
        </w:rPr>
        <w:t>summari</w:t>
      </w:r>
      <w:r w:rsidR="00920422">
        <w:rPr>
          <w:lang w:eastAsia="zh-CN"/>
        </w:rPr>
        <w:t>s</w:t>
      </w:r>
      <w:r w:rsidR="00920422" w:rsidRPr="00A44AFE">
        <w:rPr>
          <w:lang w:eastAsia="zh-CN"/>
        </w:rPr>
        <w:t xml:space="preserve">ed </w:t>
      </w:r>
      <w:r w:rsidRPr="00A44AFE">
        <w:rPr>
          <w:lang w:eastAsia="zh-CN"/>
        </w:rPr>
        <w:t xml:space="preserve">in </w:t>
      </w:r>
      <w:r w:rsidR="0075658B">
        <w:rPr>
          <w:lang w:eastAsia="zh-CN"/>
        </w:rPr>
        <w:t xml:space="preserve">Table 5 </w:t>
      </w:r>
      <w:r w:rsidRPr="00A44AFE">
        <w:rPr>
          <w:lang w:eastAsia="zh-CN"/>
        </w:rPr>
        <w:t xml:space="preserve">and </w:t>
      </w:r>
      <w:r w:rsidR="0075658B">
        <w:rPr>
          <w:lang w:eastAsia="zh-CN"/>
        </w:rPr>
        <w:t xml:space="preserve">Table 6 </w:t>
      </w:r>
      <w:r w:rsidR="004F0902">
        <w:rPr>
          <w:lang w:eastAsia="zh-CN"/>
        </w:rPr>
        <w:t>separately</w:t>
      </w:r>
      <w:r w:rsidR="00091FE8">
        <w:rPr>
          <w:lang w:eastAsia="zh-CN"/>
        </w:rPr>
        <w:t xml:space="preserve">. </w:t>
      </w:r>
      <w:r w:rsidR="00920422">
        <w:rPr>
          <w:lang w:eastAsia="zh-CN"/>
        </w:rPr>
        <w:t>These tables show all independent variables significantly different from zero</w:t>
      </w:r>
      <w:r w:rsidR="00382A2A">
        <w:rPr>
          <w:lang w:eastAsia="zh-CN"/>
        </w:rPr>
        <w:t>.</w:t>
      </w:r>
      <w:r w:rsidR="006705A4">
        <w:rPr>
          <w:lang w:eastAsia="zh-CN"/>
        </w:rPr>
        <w:t xml:space="preserve"> </w:t>
      </w:r>
      <w:r w:rsidR="00F10FAA">
        <w:rPr>
          <w:lang w:eastAsia="zh-CN"/>
        </w:rPr>
        <w:t xml:space="preserve">Because of </w:t>
      </w:r>
      <w:r w:rsidR="00670F86">
        <w:rPr>
          <w:lang w:eastAsia="zh-CN"/>
        </w:rPr>
        <w:t xml:space="preserve">potential </w:t>
      </w:r>
      <w:r w:rsidR="00F10FAA">
        <w:rPr>
          <w:lang w:eastAsia="zh-CN"/>
        </w:rPr>
        <w:t>multicollinearity</w:t>
      </w:r>
      <w:r w:rsidR="00F10FAA" w:rsidRPr="00A44AFE">
        <w:rPr>
          <w:lang w:eastAsia="zh-CN"/>
        </w:rPr>
        <w:t>, variables</w:t>
      </w:r>
      <w:r w:rsidR="00670F86">
        <w:rPr>
          <w:lang w:eastAsia="zh-CN"/>
        </w:rPr>
        <w:t xml:space="preserve"> were entered</w:t>
      </w:r>
      <w:r w:rsidR="00F10FAA" w:rsidRPr="00A44AFE">
        <w:rPr>
          <w:lang w:eastAsia="zh-CN"/>
        </w:rPr>
        <w:t xml:space="preserve"> into each model in </w:t>
      </w:r>
      <w:r w:rsidR="00F10FAA">
        <w:rPr>
          <w:lang w:eastAsia="zh-CN"/>
        </w:rPr>
        <w:t xml:space="preserve">two steps. </w:t>
      </w:r>
      <w:r w:rsidR="00BD00B2">
        <w:rPr>
          <w:lang w:eastAsia="zh-CN"/>
        </w:rPr>
        <w:t>The key difference between the two steps is that the first step only includes a</w:t>
      </w:r>
      <w:r w:rsidR="00F10FAA">
        <w:rPr>
          <w:lang w:eastAsia="zh-CN"/>
        </w:rPr>
        <w:t xml:space="preserve"> composite measure of need drivers</w:t>
      </w:r>
      <w:r w:rsidR="006705A4">
        <w:rPr>
          <w:lang w:eastAsia="zh-CN"/>
        </w:rPr>
        <w:t xml:space="preserve"> </w:t>
      </w:r>
      <w:r w:rsidR="00670F86">
        <w:rPr>
          <w:lang w:eastAsia="zh-CN"/>
        </w:rPr>
        <w:t>using the</w:t>
      </w:r>
      <w:r w:rsidR="00F10FAA">
        <w:rPr>
          <w:lang w:eastAsia="zh-CN"/>
        </w:rPr>
        <w:t xml:space="preserve"> SEIF</w:t>
      </w:r>
      <w:r w:rsidR="00670F86">
        <w:rPr>
          <w:lang w:eastAsia="zh-CN"/>
        </w:rPr>
        <w:t>A index</w:t>
      </w:r>
      <w:r w:rsidR="00BD00B2">
        <w:rPr>
          <w:lang w:eastAsia="zh-CN"/>
        </w:rPr>
        <w:t>, while in t</w:t>
      </w:r>
      <w:r w:rsidR="00F10FAA">
        <w:rPr>
          <w:lang w:eastAsia="zh-CN"/>
        </w:rPr>
        <w:t xml:space="preserve">he second step </w:t>
      </w:r>
      <w:r w:rsidR="00BD00B2">
        <w:rPr>
          <w:lang w:eastAsia="zh-CN"/>
        </w:rPr>
        <w:t xml:space="preserve">the </w:t>
      </w:r>
      <w:r w:rsidR="00670F86">
        <w:rPr>
          <w:lang w:eastAsia="zh-CN"/>
        </w:rPr>
        <w:t xml:space="preserve">more </w:t>
      </w:r>
      <w:r w:rsidR="00CA7BF7">
        <w:rPr>
          <w:lang w:eastAsia="zh-CN"/>
        </w:rPr>
        <w:t>detail</w:t>
      </w:r>
      <w:r w:rsidR="006705A4">
        <w:rPr>
          <w:lang w:eastAsia="zh-CN"/>
        </w:rPr>
        <w:t>ed</w:t>
      </w:r>
      <w:r w:rsidR="00CA7BF7">
        <w:rPr>
          <w:lang w:eastAsia="zh-CN"/>
        </w:rPr>
        <w:t xml:space="preserve"> measures</w:t>
      </w:r>
      <w:r w:rsidR="00BD00B2">
        <w:rPr>
          <w:lang w:eastAsia="zh-CN"/>
        </w:rPr>
        <w:t xml:space="preserve"> of need drivers were included. </w:t>
      </w:r>
      <w:r w:rsidR="00073250">
        <w:rPr>
          <w:lang w:eastAsia="zh-CN"/>
        </w:rPr>
        <w:t>Both the peak and off-</w:t>
      </w:r>
      <w:r w:rsidR="006705A4">
        <w:rPr>
          <w:lang w:eastAsia="zh-CN"/>
        </w:rPr>
        <w:t>peak models explained about 37 percent of the variance of the PTAL.</w:t>
      </w:r>
    </w:p>
    <w:p w14:paraId="69F629E3" w14:textId="77777777" w:rsidR="004B2386" w:rsidRDefault="004B2386" w:rsidP="004B2386">
      <w:pPr>
        <w:rPr>
          <w:lang w:eastAsia="zh-CN"/>
        </w:rPr>
      </w:pPr>
      <w:r w:rsidRPr="00A44AFE">
        <w:rPr>
          <w:lang w:eastAsia="zh-CN"/>
        </w:rPr>
        <w:t xml:space="preserve">As expected, </w:t>
      </w:r>
      <w:r w:rsidR="00D66313">
        <w:rPr>
          <w:lang w:eastAsia="zh-CN"/>
        </w:rPr>
        <w:t xml:space="preserve">population density and employment density </w:t>
      </w:r>
      <w:r w:rsidRPr="00A44AFE">
        <w:rPr>
          <w:lang w:eastAsia="zh-CN"/>
        </w:rPr>
        <w:t xml:space="preserve">are the </w:t>
      </w:r>
      <w:r w:rsidR="00D66313">
        <w:rPr>
          <w:lang w:eastAsia="zh-CN"/>
        </w:rPr>
        <w:t>two</w:t>
      </w:r>
      <w:r w:rsidRPr="00A44AFE">
        <w:rPr>
          <w:lang w:eastAsia="zh-CN"/>
        </w:rPr>
        <w:t xml:space="preserve"> </w:t>
      </w:r>
      <w:r w:rsidR="00D66313">
        <w:rPr>
          <w:lang w:eastAsia="zh-CN"/>
        </w:rPr>
        <w:t>strong dema</w:t>
      </w:r>
      <w:r w:rsidR="007721F5">
        <w:rPr>
          <w:lang w:eastAsia="zh-CN"/>
        </w:rPr>
        <w:t xml:space="preserve">nd drivers </w:t>
      </w:r>
      <w:r w:rsidR="00920422">
        <w:rPr>
          <w:lang w:eastAsia="zh-CN"/>
        </w:rPr>
        <w:t xml:space="preserve">of </w:t>
      </w:r>
      <w:r w:rsidR="007721F5">
        <w:rPr>
          <w:lang w:eastAsia="zh-CN"/>
        </w:rPr>
        <w:t>public transport</w:t>
      </w:r>
      <w:r w:rsidR="00920422">
        <w:rPr>
          <w:lang w:eastAsia="zh-CN"/>
        </w:rPr>
        <w:t xml:space="preserve"> supply</w:t>
      </w:r>
      <w:r w:rsidR="007721F5">
        <w:rPr>
          <w:lang w:eastAsia="zh-CN"/>
        </w:rPr>
        <w:t xml:space="preserve">. The elevation </w:t>
      </w:r>
      <w:r w:rsidR="001D3CD9">
        <w:rPr>
          <w:lang w:eastAsia="zh-CN"/>
        </w:rPr>
        <w:t>was</w:t>
      </w:r>
      <w:r w:rsidR="007721F5">
        <w:rPr>
          <w:lang w:eastAsia="zh-CN"/>
        </w:rPr>
        <w:t xml:space="preserve"> negatively associated with PTAL value, indicating that public transport supply decrease</w:t>
      </w:r>
      <w:r w:rsidR="00BE6FA0">
        <w:rPr>
          <w:lang w:eastAsia="zh-CN"/>
        </w:rPr>
        <w:t>d</w:t>
      </w:r>
      <w:r w:rsidR="007721F5">
        <w:rPr>
          <w:lang w:eastAsia="zh-CN"/>
        </w:rPr>
        <w:t xml:space="preserve"> at areas with increased elevation</w:t>
      </w:r>
      <w:r w:rsidR="00920422">
        <w:rPr>
          <w:lang w:eastAsia="zh-CN"/>
        </w:rPr>
        <w:t>:</w:t>
      </w:r>
      <w:r w:rsidR="006705A4">
        <w:rPr>
          <w:lang w:eastAsia="zh-CN"/>
        </w:rPr>
        <w:t xml:space="preserve"> </w:t>
      </w:r>
      <w:r w:rsidR="00920422">
        <w:rPr>
          <w:lang w:eastAsia="zh-CN"/>
        </w:rPr>
        <w:t>for Sydney this means supply decreasing the further from the coast</w:t>
      </w:r>
      <w:r w:rsidR="007721F5">
        <w:rPr>
          <w:lang w:eastAsia="zh-CN"/>
        </w:rPr>
        <w:t xml:space="preserve">. </w:t>
      </w:r>
      <w:r w:rsidR="004363D6">
        <w:rPr>
          <w:lang w:eastAsia="zh-CN"/>
        </w:rPr>
        <w:t>Interestingly, in the peak-hour model, the SEIFA was positively associated with PTAL,</w:t>
      </w:r>
      <w:r w:rsidR="00920422">
        <w:rPr>
          <w:lang w:eastAsia="zh-CN"/>
        </w:rPr>
        <w:t xml:space="preserve"> suggesting, everything else being held constant,</w:t>
      </w:r>
      <w:r w:rsidR="004363D6">
        <w:rPr>
          <w:lang w:eastAsia="zh-CN"/>
        </w:rPr>
        <w:t xml:space="preserve"> socio-advantaged area</w:t>
      </w:r>
      <w:r w:rsidR="00920422">
        <w:rPr>
          <w:lang w:eastAsia="zh-CN"/>
        </w:rPr>
        <w:t>s</w:t>
      </w:r>
      <w:r w:rsidR="004363D6">
        <w:rPr>
          <w:lang w:eastAsia="zh-CN"/>
        </w:rPr>
        <w:t xml:space="preserve"> have better public transport supply</w:t>
      </w:r>
      <w:r w:rsidR="00920422">
        <w:rPr>
          <w:lang w:eastAsia="zh-CN"/>
        </w:rPr>
        <w:t xml:space="preserve"> or conversely, everything else being equal, there is less public transport supply </w:t>
      </w:r>
      <w:r w:rsidR="004363D6">
        <w:rPr>
          <w:lang w:eastAsia="zh-CN"/>
        </w:rPr>
        <w:t>socio-disadvantaged area</w:t>
      </w:r>
      <w:r w:rsidR="00920422">
        <w:rPr>
          <w:lang w:eastAsia="zh-CN"/>
        </w:rPr>
        <w:t>s. H</w:t>
      </w:r>
      <w:r w:rsidR="004363D6">
        <w:rPr>
          <w:lang w:eastAsia="zh-CN"/>
        </w:rPr>
        <w:t xml:space="preserve">owever, this relationship is </w:t>
      </w:r>
      <w:r w:rsidR="00920422">
        <w:rPr>
          <w:lang w:eastAsia="zh-CN"/>
        </w:rPr>
        <w:t xml:space="preserve">reversed </w:t>
      </w:r>
      <w:r w:rsidR="006C40B9">
        <w:rPr>
          <w:lang w:eastAsia="zh-CN"/>
        </w:rPr>
        <w:t>in the off-peak hour model</w:t>
      </w:r>
      <w:r w:rsidR="00EB23F1">
        <w:rPr>
          <w:lang w:eastAsia="zh-CN"/>
        </w:rPr>
        <w:t>. Both distance to inland water and distance to beach</w:t>
      </w:r>
      <w:r w:rsidR="006552DB">
        <w:rPr>
          <w:lang w:eastAsia="zh-CN"/>
        </w:rPr>
        <w:t xml:space="preserve"> </w:t>
      </w:r>
      <w:r w:rsidR="00EB23F1">
        <w:rPr>
          <w:lang w:eastAsia="zh-CN"/>
        </w:rPr>
        <w:t xml:space="preserve">is negatively associated with </w:t>
      </w:r>
      <w:r w:rsidR="00920422">
        <w:rPr>
          <w:lang w:eastAsia="zh-CN"/>
        </w:rPr>
        <w:t xml:space="preserve">the </w:t>
      </w:r>
      <w:r w:rsidR="00EB23F1">
        <w:rPr>
          <w:lang w:eastAsia="zh-CN"/>
        </w:rPr>
        <w:t>PTAL, indicating that public transport supply is better at areas close to inland water and beach</w:t>
      </w:r>
      <w:r w:rsidR="00920422">
        <w:rPr>
          <w:lang w:eastAsia="zh-CN"/>
        </w:rPr>
        <w:t>es</w:t>
      </w:r>
      <w:r w:rsidR="00EB23F1">
        <w:rPr>
          <w:lang w:eastAsia="zh-CN"/>
        </w:rPr>
        <w:t xml:space="preserve">. </w:t>
      </w:r>
      <w:r w:rsidR="009B2079">
        <w:rPr>
          <w:lang w:eastAsia="zh-CN"/>
        </w:rPr>
        <w:t>Finally, the three variables measuring the need drivers,</w:t>
      </w:r>
      <w:r w:rsidR="00920422">
        <w:rPr>
          <w:lang w:eastAsia="zh-CN"/>
        </w:rPr>
        <w:t xml:space="preserve"> the</w:t>
      </w:r>
      <w:r w:rsidR="009B2079">
        <w:rPr>
          <w:lang w:eastAsia="zh-CN"/>
        </w:rPr>
        <w:t xml:space="preserve"> percentage of indigenous population, percentage </w:t>
      </w:r>
      <w:r w:rsidR="00920422">
        <w:rPr>
          <w:lang w:eastAsia="zh-CN"/>
        </w:rPr>
        <w:t xml:space="preserve">of </w:t>
      </w:r>
      <w:r w:rsidR="009B2079">
        <w:rPr>
          <w:lang w:eastAsia="zh-CN"/>
        </w:rPr>
        <w:t xml:space="preserve">low-income population, and percentage of older population, were all negatively associated with PTAL, indicating that the public transport supply is lower </w:t>
      </w:r>
      <w:r w:rsidR="00920422">
        <w:rPr>
          <w:lang w:eastAsia="zh-CN"/>
        </w:rPr>
        <w:t>than expected for</w:t>
      </w:r>
      <w:r w:rsidR="009B2079">
        <w:rPr>
          <w:lang w:eastAsia="zh-CN"/>
        </w:rPr>
        <w:t xml:space="preserve"> </w:t>
      </w:r>
      <w:r w:rsidR="00920422">
        <w:rPr>
          <w:lang w:eastAsia="zh-CN"/>
        </w:rPr>
        <w:t xml:space="preserve">these demand drivers suggesting that supply is lower where </w:t>
      </w:r>
      <w:r w:rsidR="009B2079">
        <w:rPr>
          <w:lang w:eastAsia="zh-CN"/>
        </w:rPr>
        <w:t xml:space="preserve">public transport </w:t>
      </w:r>
      <w:r w:rsidR="00920422">
        <w:rPr>
          <w:lang w:eastAsia="zh-CN"/>
        </w:rPr>
        <w:t xml:space="preserve">is </w:t>
      </w:r>
      <w:r w:rsidR="009B2079">
        <w:rPr>
          <w:lang w:eastAsia="zh-CN"/>
        </w:rPr>
        <w:t>most needed</w:t>
      </w:r>
      <w:r w:rsidR="0078782B">
        <w:rPr>
          <w:lang w:eastAsia="zh-CN"/>
        </w:rPr>
        <w:t xml:space="preserve"> </w:t>
      </w:r>
      <w:r w:rsidR="00920422">
        <w:rPr>
          <w:lang w:eastAsia="zh-CN"/>
        </w:rPr>
        <w:t xml:space="preserve">for </w:t>
      </w:r>
      <w:r w:rsidR="0078782B">
        <w:rPr>
          <w:lang w:eastAsia="zh-CN"/>
        </w:rPr>
        <w:t xml:space="preserve">both </w:t>
      </w:r>
      <w:r w:rsidR="00920422">
        <w:rPr>
          <w:lang w:eastAsia="zh-CN"/>
        </w:rPr>
        <w:t xml:space="preserve">the </w:t>
      </w:r>
      <w:r w:rsidR="0078782B">
        <w:rPr>
          <w:lang w:eastAsia="zh-CN"/>
        </w:rPr>
        <w:t xml:space="preserve">peak and </w:t>
      </w:r>
      <w:r w:rsidR="00920422">
        <w:rPr>
          <w:lang w:eastAsia="zh-CN"/>
        </w:rPr>
        <w:t xml:space="preserve">the </w:t>
      </w:r>
      <w:r w:rsidR="0078782B">
        <w:rPr>
          <w:lang w:eastAsia="zh-CN"/>
        </w:rPr>
        <w:t>off-peak hour</w:t>
      </w:r>
      <w:r w:rsidR="009B2079">
        <w:rPr>
          <w:lang w:eastAsia="zh-CN"/>
        </w:rPr>
        <w:t>.</w:t>
      </w:r>
      <w:r w:rsidR="006705A4">
        <w:rPr>
          <w:lang w:eastAsia="zh-CN"/>
        </w:rPr>
        <w:t xml:space="preserve"> </w:t>
      </w:r>
    </w:p>
    <w:p w14:paraId="69F629E4" w14:textId="77777777" w:rsidR="004B2386" w:rsidRPr="006705A4" w:rsidRDefault="004B2386" w:rsidP="006705A4">
      <w:pPr>
        <w:spacing w:after="0"/>
        <w:jc w:val="center"/>
        <w:rPr>
          <w:rFonts w:eastAsia="Times New Roman" w:cs="Arial"/>
          <w:b/>
          <w:color w:val="000000"/>
          <w:lang w:val="en-US"/>
        </w:rPr>
      </w:pPr>
      <w:r w:rsidRPr="006705A4">
        <w:rPr>
          <w:rFonts w:eastAsia="Times New Roman" w:cs="Arial"/>
          <w:b/>
          <w:color w:val="000000"/>
          <w:lang w:val="en-US"/>
        </w:rPr>
        <w:t>Table 5: Model results for peak-hour PTAL.</w:t>
      </w:r>
    </w:p>
    <w:tbl>
      <w:tblPr>
        <w:tblW w:w="8552" w:type="dxa"/>
        <w:jc w:val="center"/>
        <w:tblLook w:val="04A0" w:firstRow="1" w:lastRow="0" w:firstColumn="1" w:lastColumn="0" w:noHBand="0" w:noVBand="1"/>
      </w:tblPr>
      <w:tblGrid>
        <w:gridCol w:w="4152"/>
        <w:gridCol w:w="1240"/>
        <w:gridCol w:w="1240"/>
        <w:gridCol w:w="960"/>
        <w:gridCol w:w="960"/>
      </w:tblGrid>
      <w:tr w:rsidR="004B2386" w:rsidRPr="006705A4" w14:paraId="69F629EA" w14:textId="77777777" w:rsidTr="006705A4">
        <w:trPr>
          <w:trHeight w:val="300"/>
          <w:jc w:val="center"/>
        </w:trPr>
        <w:tc>
          <w:tcPr>
            <w:tcW w:w="4152" w:type="dxa"/>
            <w:tcBorders>
              <w:top w:val="single" w:sz="4" w:space="0" w:color="auto"/>
              <w:left w:val="nil"/>
              <w:bottom w:val="nil"/>
              <w:right w:val="nil"/>
            </w:tcBorders>
            <w:shd w:val="clear" w:color="000000" w:fill="FFFFFF"/>
            <w:noWrap/>
            <w:vAlign w:val="bottom"/>
            <w:hideMark/>
          </w:tcPr>
          <w:p w14:paraId="69F629E5"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single" w:sz="4" w:space="0" w:color="auto"/>
              <w:left w:val="nil"/>
              <w:bottom w:val="nil"/>
              <w:right w:val="nil"/>
            </w:tcBorders>
            <w:shd w:val="clear" w:color="000000" w:fill="FFFFFF"/>
            <w:noWrap/>
            <w:vAlign w:val="bottom"/>
            <w:hideMark/>
          </w:tcPr>
          <w:p w14:paraId="69F629E6"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Coef.</w:t>
            </w:r>
          </w:p>
        </w:tc>
        <w:tc>
          <w:tcPr>
            <w:tcW w:w="1240" w:type="dxa"/>
            <w:tcBorders>
              <w:top w:val="single" w:sz="4" w:space="0" w:color="auto"/>
              <w:left w:val="nil"/>
              <w:bottom w:val="nil"/>
              <w:right w:val="nil"/>
            </w:tcBorders>
            <w:shd w:val="clear" w:color="000000" w:fill="FFFFFF"/>
            <w:noWrap/>
            <w:vAlign w:val="bottom"/>
            <w:hideMark/>
          </w:tcPr>
          <w:p w14:paraId="69F629E7"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P&gt;t</w:t>
            </w:r>
          </w:p>
        </w:tc>
        <w:tc>
          <w:tcPr>
            <w:tcW w:w="960" w:type="dxa"/>
            <w:tcBorders>
              <w:top w:val="single" w:sz="4" w:space="0" w:color="auto"/>
              <w:left w:val="nil"/>
              <w:bottom w:val="nil"/>
              <w:right w:val="nil"/>
            </w:tcBorders>
            <w:shd w:val="clear" w:color="000000" w:fill="FFFFFF"/>
            <w:noWrap/>
            <w:vAlign w:val="bottom"/>
            <w:hideMark/>
          </w:tcPr>
          <w:p w14:paraId="69F629E8"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Coef.</w:t>
            </w:r>
          </w:p>
        </w:tc>
        <w:tc>
          <w:tcPr>
            <w:tcW w:w="960" w:type="dxa"/>
            <w:tcBorders>
              <w:top w:val="single" w:sz="4" w:space="0" w:color="auto"/>
              <w:left w:val="nil"/>
              <w:bottom w:val="nil"/>
              <w:right w:val="nil"/>
            </w:tcBorders>
            <w:shd w:val="clear" w:color="000000" w:fill="FFFFFF"/>
            <w:noWrap/>
            <w:vAlign w:val="bottom"/>
            <w:hideMark/>
          </w:tcPr>
          <w:p w14:paraId="69F629E9"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P&gt;t</w:t>
            </w:r>
          </w:p>
        </w:tc>
      </w:tr>
      <w:tr w:rsidR="004B2386" w:rsidRPr="006705A4" w14:paraId="69F629F0" w14:textId="77777777" w:rsidTr="006705A4">
        <w:trPr>
          <w:trHeight w:val="300"/>
          <w:jc w:val="center"/>
        </w:trPr>
        <w:tc>
          <w:tcPr>
            <w:tcW w:w="4152" w:type="dxa"/>
            <w:tcBorders>
              <w:top w:val="single" w:sz="4" w:space="0" w:color="auto"/>
              <w:left w:val="nil"/>
              <w:bottom w:val="nil"/>
              <w:right w:val="nil"/>
            </w:tcBorders>
            <w:shd w:val="clear" w:color="000000" w:fill="FFFFFF"/>
            <w:noWrap/>
            <w:vAlign w:val="bottom"/>
            <w:hideMark/>
          </w:tcPr>
          <w:p w14:paraId="69F629EB"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Population density</w:t>
            </w:r>
          </w:p>
        </w:tc>
        <w:tc>
          <w:tcPr>
            <w:tcW w:w="1240" w:type="dxa"/>
            <w:tcBorders>
              <w:top w:val="single" w:sz="4" w:space="0" w:color="auto"/>
              <w:left w:val="nil"/>
              <w:bottom w:val="nil"/>
              <w:right w:val="nil"/>
            </w:tcBorders>
            <w:shd w:val="clear" w:color="000000" w:fill="FFFFFF"/>
            <w:noWrap/>
            <w:vAlign w:val="bottom"/>
            <w:hideMark/>
          </w:tcPr>
          <w:p w14:paraId="69F629EC"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0.0060</w:t>
            </w:r>
          </w:p>
        </w:tc>
        <w:tc>
          <w:tcPr>
            <w:tcW w:w="1240" w:type="dxa"/>
            <w:tcBorders>
              <w:top w:val="single" w:sz="4" w:space="0" w:color="auto"/>
              <w:left w:val="nil"/>
              <w:bottom w:val="nil"/>
              <w:right w:val="nil"/>
            </w:tcBorders>
            <w:shd w:val="clear" w:color="000000" w:fill="FFFFFF"/>
            <w:noWrap/>
            <w:vAlign w:val="bottom"/>
            <w:hideMark/>
          </w:tcPr>
          <w:p w14:paraId="69F629ED"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c>
          <w:tcPr>
            <w:tcW w:w="960" w:type="dxa"/>
            <w:tcBorders>
              <w:top w:val="single" w:sz="4" w:space="0" w:color="auto"/>
              <w:left w:val="nil"/>
              <w:bottom w:val="nil"/>
              <w:right w:val="nil"/>
            </w:tcBorders>
            <w:shd w:val="clear" w:color="000000" w:fill="FFFFFF"/>
            <w:noWrap/>
            <w:vAlign w:val="bottom"/>
            <w:hideMark/>
          </w:tcPr>
          <w:p w14:paraId="69F629EE"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0.0039</w:t>
            </w:r>
          </w:p>
        </w:tc>
        <w:tc>
          <w:tcPr>
            <w:tcW w:w="960" w:type="dxa"/>
            <w:tcBorders>
              <w:top w:val="single" w:sz="4" w:space="0" w:color="auto"/>
              <w:left w:val="nil"/>
              <w:bottom w:val="nil"/>
              <w:right w:val="nil"/>
            </w:tcBorders>
            <w:shd w:val="clear" w:color="000000" w:fill="FFFFFF"/>
            <w:noWrap/>
            <w:vAlign w:val="bottom"/>
            <w:hideMark/>
          </w:tcPr>
          <w:p w14:paraId="69F629EF"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9F6"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9F1"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Employment density</w:t>
            </w:r>
          </w:p>
        </w:tc>
        <w:tc>
          <w:tcPr>
            <w:tcW w:w="1240" w:type="dxa"/>
            <w:tcBorders>
              <w:top w:val="nil"/>
              <w:left w:val="nil"/>
              <w:bottom w:val="nil"/>
              <w:right w:val="nil"/>
            </w:tcBorders>
            <w:shd w:val="clear" w:color="000000" w:fill="FFFFFF"/>
            <w:noWrap/>
            <w:vAlign w:val="bottom"/>
            <w:hideMark/>
          </w:tcPr>
          <w:p w14:paraId="69F629F2"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0.0015</w:t>
            </w:r>
          </w:p>
        </w:tc>
        <w:tc>
          <w:tcPr>
            <w:tcW w:w="1240" w:type="dxa"/>
            <w:tcBorders>
              <w:top w:val="nil"/>
              <w:left w:val="nil"/>
              <w:bottom w:val="nil"/>
              <w:right w:val="nil"/>
            </w:tcBorders>
            <w:shd w:val="clear" w:color="000000" w:fill="FFFFFF"/>
            <w:noWrap/>
            <w:vAlign w:val="bottom"/>
            <w:hideMark/>
          </w:tcPr>
          <w:p w14:paraId="69F629F3"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c>
          <w:tcPr>
            <w:tcW w:w="960" w:type="dxa"/>
            <w:tcBorders>
              <w:top w:val="nil"/>
              <w:left w:val="nil"/>
              <w:bottom w:val="nil"/>
              <w:right w:val="nil"/>
            </w:tcBorders>
            <w:shd w:val="clear" w:color="000000" w:fill="FFFFFF"/>
            <w:noWrap/>
            <w:vAlign w:val="bottom"/>
            <w:hideMark/>
          </w:tcPr>
          <w:p w14:paraId="69F629F4"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0.0014</w:t>
            </w:r>
          </w:p>
        </w:tc>
        <w:tc>
          <w:tcPr>
            <w:tcW w:w="960" w:type="dxa"/>
            <w:tcBorders>
              <w:top w:val="nil"/>
              <w:left w:val="nil"/>
              <w:bottom w:val="nil"/>
              <w:right w:val="nil"/>
            </w:tcBorders>
            <w:shd w:val="clear" w:color="000000" w:fill="FFFFFF"/>
            <w:noWrap/>
            <w:vAlign w:val="bottom"/>
            <w:hideMark/>
          </w:tcPr>
          <w:p w14:paraId="69F629F5"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9FC"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9F7"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Maximum elevation</w:t>
            </w:r>
          </w:p>
        </w:tc>
        <w:tc>
          <w:tcPr>
            <w:tcW w:w="1240" w:type="dxa"/>
            <w:tcBorders>
              <w:top w:val="nil"/>
              <w:left w:val="nil"/>
              <w:bottom w:val="nil"/>
              <w:right w:val="nil"/>
            </w:tcBorders>
            <w:shd w:val="clear" w:color="000000" w:fill="FFFFFF"/>
            <w:noWrap/>
            <w:vAlign w:val="bottom"/>
            <w:hideMark/>
          </w:tcPr>
          <w:p w14:paraId="69F629F8"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-0.0034</w:t>
            </w:r>
          </w:p>
        </w:tc>
        <w:tc>
          <w:tcPr>
            <w:tcW w:w="1240" w:type="dxa"/>
            <w:tcBorders>
              <w:top w:val="nil"/>
              <w:left w:val="nil"/>
              <w:bottom w:val="nil"/>
              <w:right w:val="nil"/>
            </w:tcBorders>
            <w:shd w:val="clear" w:color="000000" w:fill="FFFFFF"/>
            <w:noWrap/>
            <w:vAlign w:val="bottom"/>
            <w:hideMark/>
          </w:tcPr>
          <w:p w14:paraId="69F629F9"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c>
          <w:tcPr>
            <w:tcW w:w="960" w:type="dxa"/>
            <w:tcBorders>
              <w:top w:val="nil"/>
              <w:left w:val="nil"/>
              <w:bottom w:val="nil"/>
              <w:right w:val="nil"/>
            </w:tcBorders>
            <w:shd w:val="clear" w:color="000000" w:fill="FFFFFF"/>
            <w:noWrap/>
            <w:vAlign w:val="bottom"/>
            <w:hideMark/>
          </w:tcPr>
          <w:p w14:paraId="69F629FA"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-0.0024</w:t>
            </w:r>
          </w:p>
        </w:tc>
        <w:tc>
          <w:tcPr>
            <w:tcW w:w="960" w:type="dxa"/>
            <w:tcBorders>
              <w:top w:val="nil"/>
              <w:left w:val="nil"/>
              <w:bottom w:val="nil"/>
              <w:right w:val="nil"/>
            </w:tcBorders>
            <w:shd w:val="clear" w:color="000000" w:fill="FFFFFF"/>
            <w:noWrap/>
            <w:vAlign w:val="bottom"/>
            <w:hideMark/>
          </w:tcPr>
          <w:p w14:paraId="69F629FB"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02"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9FD"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SEIFA</w:t>
            </w:r>
          </w:p>
        </w:tc>
        <w:tc>
          <w:tcPr>
            <w:tcW w:w="1240" w:type="dxa"/>
            <w:tcBorders>
              <w:top w:val="nil"/>
              <w:left w:val="nil"/>
              <w:bottom w:val="nil"/>
              <w:right w:val="nil"/>
            </w:tcBorders>
            <w:shd w:val="clear" w:color="000000" w:fill="FFFFFF"/>
            <w:noWrap/>
            <w:vAlign w:val="bottom"/>
            <w:hideMark/>
          </w:tcPr>
          <w:p w14:paraId="69F629FE"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0.0002</w:t>
            </w:r>
          </w:p>
        </w:tc>
        <w:tc>
          <w:tcPr>
            <w:tcW w:w="1240" w:type="dxa"/>
            <w:tcBorders>
              <w:top w:val="nil"/>
              <w:left w:val="nil"/>
              <w:bottom w:val="nil"/>
              <w:right w:val="nil"/>
            </w:tcBorders>
            <w:shd w:val="clear" w:color="000000" w:fill="FFFFFF"/>
            <w:noWrap/>
            <w:vAlign w:val="bottom"/>
            <w:hideMark/>
          </w:tcPr>
          <w:p w14:paraId="69F629FF"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0.031</w:t>
            </w:r>
          </w:p>
        </w:tc>
        <w:tc>
          <w:tcPr>
            <w:tcW w:w="960" w:type="dxa"/>
            <w:tcBorders>
              <w:top w:val="nil"/>
              <w:left w:val="nil"/>
              <w:bottom w:val="nil"/>
              <w:right w:val="nil"/>
            </w:tcBorders>
            <w:shd w:val="clear" w:color="000000" w:fill="FFFFFF"/>
            <w:noWrap/>
            <w:vAlign w:val="bottom"/>
            <w:hideMark/>
          </w:tcPr>
          <w:p w14:paraId="69F62A00"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-0.0020</w:t>
            </w:r>
          </w:p>
        </w:tc>
        <w:tc>
          <w:tcPr>
            <w:tcW w:w="960" w:type="dxa"/>
            <w:tcBorders>
              <w:top w:val="nil"/>
              <w:left w:val="nil"/>
              <w:bottom w:val="nil"/>
              <w:right w:val="nil"/>
            </w:tcBorders>
            <w:shd w:val="clear" w:color="000000" w:fill="FFFFFF"/>
            <w:noWrap/>
            <w:vAlign w:val="bottom"/>
            <w:hideMark/>
          </w:tcPr>
          <w:p w14:paraId="69F62A01"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08"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03"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Distance to inland water by public transport</w:t>
            </w:r>
          </w:p>
        </w:tc>
        <w:tc>
          <w:tcPr>
            <w:tcW w:w="1240" w:type="dxa"/>
            <w:tcBorders>
              <w:top w:val="nil"/>
              <w:left w:val="nil"/>
              <w:bottom w:val="nil"/>
              <w:right w:val="nil"/>
            </w:tcBorders>
            <w:shd w:val="clear" w:color="000000" w:fill="FFFFFF"/>
            <w:noWrap/>
            <w:vAlign w:val="bottom"/>
            <w:hideMark/>
          </w:tcPr>
          <w:p w14:paraId="69F62A04"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nil"/>
              <w:left w:val="nil"/>
              <w:bottom w:val="nil"/>
              <w:right w:val="nil"/>
            </w:tcBorders>
            <w:shd w:val="clear" w:color="000000" w:fill="FFFFFF"/>
            <w:noWrap/>
            <w:vAlign w:val="bottom"/>
            <w:hideMark/>
          </w:tcPr>
          <w:p w14:paraId="69F62A05"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06"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-0.0089</w:t>
            </w:r>
          </w:p>
        </w:tc>
        <w:tc>
          <w:tcPr>
            <w:tcW w:w="960" w:type="dxa"/>
            <w:tcBorders>
              <w:top w:val="nil"/>
              <w:left w:val="nil"/>
              <w:bottom w:val="nil"/>
              <w:right w:val="nil"/>
            </w:tcBorders>
            <w:shd w:val="clear" w:color="000000" w:fill="FFFFFF"/>
            <w:noWrap/>
            <w:vAlign w:val="bottom"/>
            <w:hideMark/>
          </w:tcPr>
          <w:p w14:paraId="69F62A07"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0E"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09"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Distance to beach by public transport</w:t>
            </w:r>
          </w:p>
        </w:tc>
        <w:tc>
          <w:tcPr>
            <w:tcW w:w="1240" w:type="dxa"/>
            <w:tcBorders>
              <w:top w:val="nil"/>
              <w:left w:val="nil"/>
              <w:bottom w:val="nil"/>
              <w:right w:val="nil"/>
            </w:tcBorders>
            <w:shd w:val="clear" w:color="000000" w:fill="FFFFFF"/>
            <w:noWrap/>
            <w:vAlign w:val="bottom"/>
            <w:hideMark/>
          </w:tcPr>
          <w:p w14:paraId="69F62A0A"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nil"/>
              <w:left w:val="nil"/>
              <w:bottom w:val="nil"/>
              <w:right w:val="nil"/>
            </w:tcBorders>
            <w:shd w:val="clear" w:color="000000" w:fill="FFFFFF"/>
            <w:noWrap/>
            <w:vAlign w:val="bottom"/>
            <w:hideMark/>
          </w:tcPr>
          <w:p w14:paraId="69F62A0B"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0C"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-0.0096</w:t>
            </w:r>
          </w:p>
        </w:tc>
        <w:tc>
          <w:tcPr>
            <w:tcW w:w="960" w:type="dxa"/>
            <w:tcBorders>
              <w:top w:val="nil"/>
              <w:left w:val="nil"/>
              <w:bottom w:val="nil"/>
              <w:right w:val="nil"/>
            </w:tcBorders>
            <w:shd w:val="clear" w:color="000000" w:fill="FFFFFF"/>
            <w:noWrap/>
            <w:vAlign w:val="bottom"/>
            <w:hideMark/>
          </w:tcPr>
          <w:p w14:paraId="69F62A0D"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14"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0F" w14:textId="77777777" w:rsidR="004B2386" w:rsidRPr="006705A4" w:rsidRDefault="004B2386" w:rsidP="00382A2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xml:space="preserve">Percentage of </w:t>
            </w:r>
            <w:r w:rsidR="00382A2A" w:rsidRPr="006705A4">
              <w:rPr>
                <w:rFonts w:eastAsia="Times New Roman" w:cs="Arial"/>
                <w:color w:val="000000"/>
                <w:sz w:val="20"/>
                <w:szCs w:val="20"/>
                <w:lang w:eastAsia="en-AU"/>
              </w:rPr>
              <w:t xml:space="preserve">indigenous </w:t>
            </w:r>
            <w:r w:rsidRPr="006705A4">
              <w:rPr>
                <w:rFonts w:eastAsia="Times New Roman" w:cs="Arial"/>
                <w:color w:val="000000"/>
                <w:sz w:val="20"/>
                <w:szCs w:val="20"/>
                <w:lang w:eastAsia="en-AU"/>
              </w:rPr>
              <w:t>population</w:t>
            </w:r>
          </w:p>
        </w:tc>
        <w:tc>
          <w:tcPr>
            <w:tcW w:w="1240" w:type="dxa"/>
            <w:tcBorders>
              <w:top w:val="nil"/>
              <w:left w:val="nil"/>
              <w:bottom w:val="nil"/>
              <w:right w:val="nil"/>
            </w:tcBorders>
            <w:shd w:val="clear" w:color="000000" w:fill="FFFFFF"/>
            <w:noWrap/>
            <w:vAlign w:val="bottom"/>
            <w:hideMark/>
          </w:tcPr>
          <w:p w14:paraId="69F62A10"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nil"/>
              <w:left w:val="nil"/>
              <w:bottom w:val="nil"/>
              <w:right w:val="nil"/>
            </w:tcBorders>
            <w:shd w:val="clear" w:color="000000" w:fill="FFFFFF"/>
            <w:noWrap/>
            <w:vAlign w:val="bottom"/>
            <w:hideMark/>
          </w:tcPr>
          <w:p w14:paraId="69F62A11"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12"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-3.9800</w:t>
            </w:r>
          </w:p>
        </w:tc>
        <w:tc>
          <w:tcPr>
            <w:tcW w:w="960" w:type="dxa"/>
            <w:tcBorders>
              <w:top w:val="nil"/>
              <w:left w:val="nil"/>
              <w:bottom w:val="nil"/>
              <w:right w:val="nil"/>
            </w:tcBorders>
            <w:shd w:val="clear" w:color="000000" w:fill="FFFFFF"/>
            <w:noWrap/>
            <w:vAlign w:val="bottom"/>
            <w:hideMark/>
          </w:tcPr>
          <w:p w14:paraId="69F62A13"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1A"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15"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Percentage of low-income population</w:t>
            </w:r>
          </w:p>
        </w:tc>
        <w:tc>
          <w:tcPr>
            <w:tcW w:w="1240" w:type="dxa"/>
            <w:tcBorders>
              <w:top w:val="nil"/>
              <w:left w:val="nil"/>
              <w:bottom w:val="nil"/>
              <w:right w:val="nil"/>
            </w:tcBorders>
            <w:shd w:val="clear" w:color="000000" w:fill="FFFFFF"/>
            <w:noWrap/>
            <w:vAlign w:val="bottom"/>
            <w:hideMark/>
          </w:tcPr>
          <w:p w14:paraId="69F62A16"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nil"/>
              <w:left w:val="nil"/>
              <w:bottom w:val="nil"/>
              <w:right w:val="nil"/>
            </w:tcBorders>
            <w:shd w:val="clear" w:color="000000" w:fill="FFFFFF"/>
            <w:noWrap/>
            <w:vAlign w:val="bottom"/>
            <w:hideMark/>
          </w:tcPr>
          <w:p w14:paraId="69F62A17"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18"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-1.0515</w:t>
            </w:r>
          </w:p>
        </w:tc>
        <w:tc>
          <w:tcPr>
            <w:tcW w:w="960" w:type="dxa"/>
            <w:tcBorders>
              <w:top w:val="nil"/>
              <w:left w:val="nil"/>
              <w:bottom w:val="nil"/>
              <w:right w:val="nil"/>
            </w:tcBorders>
            <w:shd w:val="clear" w:color="000000" w:fill="FFFFFF"/>
            <w:noWrap/>
            <w:vAlign w:val="bottom"/>
            <w:hideMark/>
          </w:tcPr>
          <w:p w14:paraId="69F62A19"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20"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1B"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Percentage of older population</w:t>
            </w:r>
          </w:p>
        </w:tc>
        <w:tc>
          <w:tcPr>
            <w:tcW w:w="1240" w:type="dxa"/>
            <w:tcBorders>
              <w:top w:val="nil"/>
              <w:left w:val="nil"/>
              <w:bottom w:val="nil"/>
              <w:right w:val="nil"/>
            </w:tcBorders>
            <w:shd w:val="clear" w:color="000000" w:fill="FFFFFF"/>
            <w:noWrap/>
            <w:vAlign w:val="bottom"/>
            <w:hideMark/>
          </w:tcPr>
          <w:p w14:paraId="69F62A1C"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nil"/>
              <w:left w:val="nil"/>
              <w:bottom w:val="nil"/>
              <w:right w:val="nil"/>
            </w:tcBorders>
            <w:shd w:val="clear" w:color="000000" w:fill="FFFFFF"/>
            <w:noWrap/>
            <w:vAlign w:val="bottom"/>
            <w:hideMark/>
          </w:tcPr>
          <w:p w14:paraId="69F62A1D"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1E"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-0.3677</w:t>
            </w:r>
          </w:p>
        </w:tc>
        <w:tc>
          <w:tcPr>
            <w:tcW w:w="960" w:type="dxa"/>
            <w:tcBorders>
              <w:top w:val="nil"/>
              <w:left w:val="nil"/>
              <w:bottom w:val="nil"/>
              <w:right w:val="nil"/>
            </w:tcBorders>
            <w:shd w:val="clear" w:color="000000" w:fill="FFFFFF"/>
            <w:noWrap/>
            <w:vAlign w:val="bottom"/>
            <w:hideMark/>
          </w:tcPr>
          <w:p w14:paraId="69F62A1F"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0.007</w:t>
            </w:r>
          </w:p>
        </w:tc>
      </w:tr>
      <w:tr w:rsidR="004B2386" w:rsidRPr="006705A4" w14:paraId="69F62A26" w14:textId="77777777" w:rsidTr="006705A4">
        <w:trPr>
          <w:trHeight w:val="300"/>
          <w:jc w:val="center"/>
        </w:trPr>
        <w:tc>
          <w:tcPr>
            <w:tcW w:w="4152" w:type="dxa"/>
            <w:tcBorders>
              <w:top w:val="nil"/>
              <w:left w:val="nil"/>
              <w:bottom w:val="single" w:sz="4" w:space="0" w:color="auto"/>
              <w:right w:val="nil"/>
            </w:tcBorders>
            <w:shd w:val="clear" w:color="000000" w:fill="FFFFFF"/>
            <w:noWrap/>
            <w:vAlign w:val="bottom"/>
            <w:hideMark/>
          </w:tcPr>
          <w:p w14:paraId="69F62A21" w14:textId="77777777" w:rsidR="004B2386" w:rsidRPr="006705A4" w:rsidRDefault="004B2386" w:rsidP="004B2386">
            <w:pPr>
              <w:spacing w:after="0" w:line="240" w:lineRule="auto"/>
              <w:rPr>
                <w:rFonts w:eastAsia="Times New Roman" w:cs="Arial"/>
                <w:i/>
                <w:iCs/>
                <w:color w:val="000000"/>
                <w:sz w:val="20"/>
                <w:szCs w:val="20"/>
                <w:lang w:eastAsia="en-AU"/>
              </w:rPr>
            </w:pPr>
            <w:r w:rsidRPr="006705A4">
              <w:rPr>
                <w:rFonts w:eastAsia="Times New Roman" w:cs="Arial"/>
                <w:i/>
                <w:iCs/>
                <w:color w:val="000000"/>
                <w:sz w:val="20"/>
                <w:szCs w:val="20"/>
                <w:lang w:eastAsia="en-AU"/>
              </w:rPr>
              <w:t>constant</w:t>
            </w:r>
          </w:p>
        </w:tc>
        <w:tc>
          <w:tcPr>
            <w:tcW w:w="1240" w:type="dxa"/>
            <w:tcBorders>
              <w:top w:val="nil"/>
              <w:left w:val="nil"/>
              <w:bottom w:val="nil"/>
              <w:right w:val="nil"/>
            </w:tcBorders>
            <w:shd w:val="clear" w:color="000000" w:fill="FFFFFF"/>
            <w:noWrap/>
            <w:vAlign w:val="bottom"/>
            <w:hideMark/>
          </w:tcPr>
          <w:p w14:paraId="69F62A22"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2.9655</w:t>
            </w:r>
          </w:p>
        </w:tc>
        <w:tc>
          <w:tcPr>
            <w:tcW w:w="1240" w:type="dxa"/>
            <w:tcBorders>
              <w:top w:val="nil"/>
              <w:left w:val="nil"/>
              <w:bottom w:val="nil"/>
              <w:right w:val="nil"/>
            </w:tcBorders>
            <w:shd w:val="clear" w:color="000000" w:fill="FFFFFF"/>
            <w:noWrap/>
            <w:vAlign w:val="bottom"/>
            <w:hideMark/>
          </w:tcPr>
          <w:p w14:paraId="69F62A23"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c>
          <w:tcPr>
            <w:tcW w:w="960" w:type="dxa"/>
            <w:tcBorders>
              <w:top w:val="nil"/>
              <w:left w:val="nil"/>
              <w:bottom w:val="single" w:sz="4" w:space="0" w:color="auto"/>
              <w:right w:val="nil"/>
            </w:tcBorders>
            <w:shd w:val="clear" w:color="000000" w:fill="FFFFFF"/>
            <w:noWrap/>
            <w:vAlign w:val="bottom"/>
            <w:hideMark/>
          </w:tcPr>
          <w:p w14:paraId="69F62A24"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6.6917</w:t>
            </w:r>
          </w:p>
        </w:tc>
        <w:tc>
          <w:tcPr>
            <w:tcW w:w="960" w:type="dxa"/>
            <w:tcBorders>
              <w:top w:val="nil"/>
              <w:left w:val="nil"/>
              <w:bottom w:val="single" w:sz="4" w:space="0" w:color="auto"/>
              <w:right w:val="nil"/>
            </w:tcBorders>
            <w:shd w:val="clear" w:color="000000" w:fill="FFFFFF"/>
            <w:noWrap/>
            <w:vAlign w:val="bottom"/>
            <w:hideMark/>
          </w:tcPr>
          <w:p w14:paraId="69F62A25"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2C"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27"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Number of obs</w:t>
            </w:r>
          </w:p>
        </w:tc>
        <w:tc>
          <w:tcPr>
            <w:tcW w:w="1240" w:type="dxa"/>
            <w:tcBorders>
              <w:top w:val="single" w:sz="4" w:space="0" w:color="auto"/>
              <w:left w:val="nil"/>
              <w:bottom w:val="nil"/>
              <w:right w:val="nil"/>
            </w:tcBorders>
            <w:shd w:val="clear" w:color="000000" w:fill="FFFFFF"/>
            <w:noWrap/>
            <w:vAlign w:val="bottom"/>
            <w:hideMark/>
          </w:tcPr>
          <w:p w14:paraId="69F62A28"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9093</w:t>
            </w:r>
          </w:p>
        </w:tc>
        <w:tc>
          <w:tcPr>
            <w:tcW w:w="1240" w:type="dxa"/>
            <w:tcBorders>
              <w:top w:val="single" w:sz="4" w:space="0" w:color="auto"/>
              <w:left w:val="nil"/>
              <w:bottom w:val="nil"/>
              <w:right w:val="nil"/>
            </w:tcBorders>
            <w:shd w:val="clear" w:color="000000" w:fill="FFFFFF"/>
            <w:noWrap/>
            <w:vAlign w:val="bottom"/>
            <w:hideMark/>
          </w:tcPr>
          <w:p w14:paraId="69F62A29"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2A"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9093</w:t>
            </w:r>
          </w:p>
        </w:tc>
        <w:tc>
          <w:tcPr>
            <w:tcW w:w="960" w:type="dxa"/>
            <w:tcBorders>
              <w:top w:val="nil"/>
              <w:left w:val="nil"/>
              <w:bottom w:val="nil"/>
              <w:right w:val="nil"/>
            </w:tcBorders>
            <w:shd w:val="clear" w:color="000000" w:fill="FFFFFF"/>
            <w:noWrap/>
            <w:vAlign w:val="bottom"/>
            <w:hideMark/>
          </w:tcPr>
          <w:p w14:paraId="69F62A2B"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r w:rsidR="004B2386" w:rsidRPr="006705A4" w14:paraId="69F62A32"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2D"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R-squared</w:t>
            </w:r>
          </w:p>
        </w:tc>
        <w:tc>
          <w:tcPr>
            <w:tcW w:w="1240" w:type="dxa"/>
            <w:tcBorders>
              <w:top w:val="nil"/>
              <w:left w:val="nil"/>
              <w:bottom w:val="nil"/>
              <w:right w:val="nil"/>
            </w:tcBorders>
            <w:shd w:val="clear" w:color="000000" w:fill="FFFFFF"/>
            <w:noWrap/>
            <w:vAlign w:val="bottom"/>
            <w:hideMark/>
          </w:tcPr>
          <w:p w14:paraId="69F62A2E"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0.236</w:t>
            </w:r>
            <w:r w:rsidR="006705A4">
              <w:rPr>
                <w:rFonts w:eastAsia="Times New Roman" w:cs="Arial"/>
                <w:color w:val="000000"/>
                <w:sz w:val="20"/>
                <w:szCs w:val="20"/>
                <w:lang w:eastAsia="en-AU"/>
              </w:rPr>
              <w:t>0</w:t>
            </w:r>
          </w:p>
        </w:tc>
        <w:tc>
          <w:tcPr>
            <w:tcW w:w="1240" w:type="dxa"/>
            <w:tcBorders>
              <w:top w:val="nil"/>
              <w:left w:val="nil"/>
              <w:bottom w:val="nil"/>
              <w:right w:val="nil"/>
            </w:tcBorders>
            <w:shd w:val="clear" w:color="000000" w:fill="FFFFFF"/>
            <w:noWrap/>
            <w:vAlign w:val="bottom"/>
            <w:hideMark/>
          </w:tcPr>
          <w:p w14:paraId="69F62A2F"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30"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0.365</w:t>
            </w:r>
            <w:r w:rsidR="006705A4">
              <w:rPr>
                <w:rFonts w:eastAsia="Times New Roman" w:cs="Arial"/>
                <w:color w:val="000000"/>
                <w:sz w:val="20"/>
                <w:szCs w:val="20"/>
                <w:lang w:eastAsia="en-AU"/>
              </w:rPr>
              <w:t>0</w:t>
            </w:r>
          </w:p>
        </w:tc>
        <w:tc>
          <w:tcPr>
            <w:tcW w:w="960" w:type="dxa"/>
            <w:tcBorders>
              <w:top w:val="nil"/>
              <w:left w:val="nil"/>
              <w:bottom w:val="nil"/>
              <w:right w:val="nil"/>
            </w:tcBorders>
            <w:shd w:val="clear" w:color="000000" w:fill="FFFFFF"/>
            <w:noWrap/>
            <w:vAlign w:val="bottom"/>
            <w:hideMark/>
          </w:tcPr>
          <w:p w14:paraId="69F62A31"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r w:rsidR="004B2386" w:rsidRPr="006705A4" w14:paraId="69F62A38" w14:textId="77777777" w:rsidTr="006705A4">
        <w:trPr>
          <w:trHeight w:val="300"/>
          <w:jc w:val="center"/>
        </w:trPr>
        <w:tc>
          <w:tcPr>
            <w:tcW w:w="4152" w:type="dxa"/>
            <w:tcBorders>
              <w:top w:val="nil"/>
              <w:left w:val="nil"/>
              <w:bottom w:val="single" w:sz="4" w:space="0" w:color="auto"/>
              <w:right w:val="nil"/>
            </w:tcBorders>
            <w:shd w:val="clear" w:color="000000" w:fill="FFFFFF"/>
            <w:noWrap/>
            <w:vAlign w:val="bottom"/>
            <w:hideMark/>
          </w:tcPr>
          <w:p w14:paraId="69F62A33"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Adj R-squared</w:t>
            </w:r>
          </w:p>
        </w:tc>
        <w:tc>
          <w:tcPr>
            <w:tcW w:w="1240" w:type="dxa"/>
            <w:tcBorders>
              <w:top w:val="nil"/>
              <w:left w:val="nil"/>
              <w:bottom w:val="single" w:sz="4" w:space="0" w:color="auto"/>
              <w:right w:val="nil"/>
            </w:tcBorders>
            <w:shd w:val="clear" w:color="000000" w:fill="FFFFFF"/>
            <w:noWrap/>
            <w:vAlign w:val="bottom"/>
            <w:hideMark/>
          </w:tcPr>
          <w:p w14:paraId="69F62A34"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0.235</w:t>
            </w:r>
            <w:r w:rsidR="006705A4">
              <w:rPr>
                <w:rFonts w:eastAsia="Times New Roman" w:cs="Arial"/>
                <w:color w:val="000000"/>
                <w:sz w:val="20"/>
                <w:szCs w:val="20"/>
                <w:lang w:eastAsia="en-AU"/>
              </w:rPr>
              <w:t>0</w:t>
            </w:r>
          </w:p>
        </w:tc>
        <w:tc>
          <w:tcPr>
            <w:tcW w:w="1240" w:type="dxa"/>
            <w:tcBorders>
              <w:top w:val="nil"/>
              <w:left w:val="nil"/>
              <w:bottom w:val="single" w:sz="4" w:space="0" w:color="auto"/>
              <w:right w:val="nil"/>
            </w:tcBorders>
            <w:shd w:val="clear" w:color="000000" w:fill="FFFFFF"/>
            <w:noWrap/>
            <w:vAlign w:val="bottom"/>
            <w:hideMark/>
          </w:tcPr>
          <w:p w14:paraId="69F62A35"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single" w:sz="4" w:space="0" w:color="auto"/>
              <w:right w:val="nil"/>
            </w:tcBorders>
            <w:shd w:val="clear" w:color="000000" w:fill="FFFFFF"/>
            <w:noWrap/>
            <w:vAlign w:val="bottom"/>
            <w:hideMark/>
          </w:tcPr>
          <w:p w14:paraId="69F62A36"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0.364</w:t>
            </w:r>
            <w:r w:rsidR="006705A4">
              <w:rPr>
                <w:rFonts w:eastAsia="Times New Roman" w:cs="Arial"/>
                <w:color w:val="000000"/>
                <w:sz w:val="20"/>
                <w:szCs w:val="20"/>
                <w:lang w:eastAsia="en-AU"/>
              </w:rPr>
              <w:t>0</w:t>
            </w:r>
          </w:p>
        </w:tc>
        <w:tc>
          <w:tcPr>
            <w:tcW w:w="960" w:type="dxa"/>
            <w:tcBorders>
              <w:top w:val="nil"/>
              <w:left w:val="nil"/>
              <w:bottom w:val="single" w:sz="4" w:space="0" w:color="auto"/>
              <w:right w:val="nil"/>
            </w:tcBorders>
            <w:shd w:val="clear" w:color="000000" w:fill="FFFFFF"/>
            <w:noWrap/>
            <w:vAlign w:val="bottom"/>
            <w:hideMark/>
          </w:tcPr>
          <w:p w14:paraId="69F62A37"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bl>
    <w:p w14:paraId="69F62A39" w14:textId="77777777" w:rsidR="00382A2A" w:rsidRDefault="00382A2A" w:rsidP="001E76A9">
      <w:pPr>
        <w:rPr>
          <w:lang w:val="en-US"/>
        </w:rPr>
      </w:pPr>
    </w:p>
    <w:p w14:paraId="69F62A3A" w14:textId="77777777" w:rsidR="00382A2A" w:rsidRDefault="00382A2A">
      <w:pPr>
        <w:rPr>
          <w:lang w:val="en-US"/>
        </w:rPr>
      </w:pPr>
      <w:r>
        <w:rPr>
          <w:lang w:val="en-US"/>
        </w:rPr>
        <w:br w:type="page"/>
      </w:r>
    </w:p>
    <w:p w14:paraId="69F62A3B" w14:textId="77777777" w:rsidR="004B2386" w:rsidRPr="006705A4" w:rsidRDefault="004B2386" w:rsidP="006705A4">
      <w:pPr>
        <w:spacing w:after="0"/>
        <w:jc w:val="center"/>
        <w:rPr>
          <w:rFonts w:eastAsia="Times New Roman" w:cs="Arial"/>
          <w:b/>
          <w:color w:val="000000"/>
          <w:lang w:val="en-US"/>
        </w:rPr>
      </w:pPr>
      <w:r w:rsidRPr="006705A4">
        <w:rPr>
          <w:rFonts w:eastAsia="Times New Roman" w:cs="Arial"/>
          <w:b/>
          <w:color w:val="000000"/>
          <w:lang w:val="en-US"/>
        </w:rPr>
        <w:lastRenderedPageBreak/>
        <w:t xml:space="preserve">Table </w:t>
      </w:r>
      <w:r w:rsidR="00382A2A" w:rsidRPr="006705A4">
        <w:rPr>
          <w:rFonts w:eastAsia="Times New Roman" w:cs="Arial"/>
          <w:b/>
          <w:color w:val="000000"/>
          <w:lang w:val="en-US"/>
        </w:rPr>
        <w:t>6</w:t>
      </w:r>
      <w:r w:rsidRPr="006705A4">
        <w:rPr>
          <w:rFonts w:eastAsia="Times New Roman" w:cs="Arial"/>
          <w:b/>
          <w:color w:val="000000"/>
          <w:lang w:val="en-US"/>
        </w:rPr>
        <w:t xml:space="preserve">: Model results for </w:t>
      </w:r>
      <w:r w:rsidR="00382A2A" w:rsidRPr="006705A4">
        <w:rPr>
          <w:rFonts w:eastAsia="Times New Roman" w:cs="Arial"/>
          <w:b/>
          <w:color w:val="000000"/>
          <w:lang w:val="en-US"/>
        </w:rPr>
        <w:t>off-</w:t>
      </w:r>
      <w:r w:rsidRPr="006705A4">
        <w:rPr>
          <w:rFonts w:eastAsia="Times New Roman" w:cs="Arial"/>
          <w:b/>
          <w:color w:val="000000"/>
          <w:lang w:val="en-US"/>
        </w:rPr>
        <w:t>peak-hour PTAL.</w:t>
      </w:r>
    </w:p>
    <w:tbl>
      <w:tblPr>
        <w:tblW w:w="8552" w:type="dxa"/>
        <w:jc w:val="center"/>
        <w:tblLook w:val="04A0" w:firstRow="1" w:lastRow="0" w:firstColumn="1" w:lastColumn="0" w:noHBand="0" w:noVBand="1"/>
      </w:tblPr>
      <w:tblGrid>
        <w:gridCol w:w="4152"/>
        <w:gridCol w:w="1240"/>
        <w:gridCol w:w="1240"/>
        <w:gridCol w:w="960"/>
        <w:gridCol w:w="960"/>
      </w:tblGrid>
      <w:tr w:rsidR="004B2386" w:rsidRPr="006705A4" w14:paraId="69F62A41" w14:textId="77777777" w:rsidTr="006705A4">
        <w:trPr>
          <w:trHeight w:val="300"/>
          <w:jc w:val="center"/>
        </w:trPr>
        <w:tc>
          <w:tcPr>
            <w:tcW w:w="4152" w:type="dxa"/>
            <w:tcBorders>
              <w:top w:val="single" w:sz="4" w:space="0" w:color="auto"/>
              <w:left w:val="nil"/>
              <w:bottom w:val="nil"/>
              <w:right w:val="nil"/>
            </w:tcBorders>
            <w:shd w:val="clear" w:color="000000" w:fill="FFFFFF"/>
            <w:noWrap/>
            <w:vAlign w:val="bottom"/>
            <w:hideMark/>
          </w:tcPr>
          <w:p w14:paraId="69F62A3C"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single" w:sz="4" w:space="0" w:color="auto"/>
              <w:left w:val="nil"/>
              <w:bottom w:val="nil"/>
              <w:right w:val="nil"/>
            </w:tcBorders>
            <w:shd w:val="clear" w:color="000000" w:fill="FFFFFF"/>
            <w:noWrap/>
            <w:vAlign w:val="bottom"/>
            <w:hideMark/>
          </w:tcPr>
          <w:p w14:paraId="69F62A3D"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Coef.</w:t>
            </w:r>
          </w:p>
        </w:tc>
        <w:tc>
          <w:tcPr>
            <w:tcW w:w="1240" w:type="dxa"/>
            <w:tcBorders>
              <w:top w:val="single" w:sz="4" w:space="0" w:color="auto"/>
              <w:left w:val="nil"/>
              <w:bottom w:val="nil"/>
              <w:right w:val="nil"/>
            </w:tcBorders>
            <w:shd w:val="clear" w:color="000000" w:fill="FFFFFF"/>
            <w:noWrap/>
            <w:vAlign w:val="bottom"/>
            <w:hideMark/>
          </w:tcPr>
          <w:p w14:paraId="69F62A3E"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P&gt;t</w:t>
            </w:r>
          </w:p>
        </w:tc>
        <w:tc>
          <w:tcPr>
            <w:tcW w:w="960" w:type="dxa"/>
            <w:tcBorders>
              <w:top w:val="single" w:sz="4" w:space="0" w:color="auto"/>
              <w:left w:val="nil"/>
              <w:bottom w:val="nil"/>
              <w:right w:val="nil"/>
            </w:tcBorders>
            <w:shd w:val="clear" w:color="000000" w:fill="FFFFFF"/>
            <w:noWrap/>
            <w:vAlign w:val="bottom"/>
            <w:hideMark/>
          </w:tcPr>
          <w:p w14:paraId="69F62A3F"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Coef.</w:t>
            </w:r>
          </w:p>
        </w:tc>
        <w:tc>
          <w:tcPr>
            <w:tcW w:w="960" w:type="dxa"/>
            <w:tcBorders>
              <w:top w:val="single" w:sz="4" w:space="0" w:color="auto"/>
              <w:left w:val="nil"/>
              <w:bottom w:val="nil"/>
              <w:right w:val="nil"/>
            </w:tcBorders>
            <w:shd w:val="clear" w:color="000000" w:fill="FFFFFF"/>
            <w:noWrap/>
            <w:vAlign w:val="bottom"/>
            <w:hideMark/>
          </w:tcPr>
          <w:p w14:paraId="69F62A40"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P&gt;t</w:t>
            </w:r>
          </w:p>
        </w:tc>
      </w:tr>
      <w:tr w:rsidR="004B2386" w:rsidRPr="006705A4" w14:paraId="69F62A47" w14:textId="77777777" w:rsidTr="006705A4">
        <w:trPr>
          <w:trHeight w:val="300"/>
          <w:jc w:val="center"/>
        </w:trPr>
        <w:tc>
          <w:tcPr>
            <w:tcW w:w="4152" w:type="dxa"/>
            <w:tcBorders>
              <w:top w:val="single" w:sz="4" w:space="0" w:color="auto"/>
              <w:left w:val="nil"/>
              <w:bottom w:val="nil"/>
              <w:right w:val="nil"/>
            </w:tcBorders>
            <w:shd w:val="clear" w:color="000000" w:fill="FFFFFF"/>
            <w:noWrap/>
            <w:vAlign w:val="bottom"/>
            <w:hideMark/>
          </w:tcPr>
          <w:p w14:paraId="69F62A42"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Population density</w:t>
            </w:r>
          </w:p>
        </w:tc>
        <w:tc>
          <w:tcPr>
            <w:tcW w:w="1240" w:type="dxa"/>
            <w:tcBorders>
              <w:top w:val="single" w:sz="4" w:space="0" w:color="auto"/>
              <w:left w:val="nil"/>
              <w:bottom w:val="nil"/>
              <w:right w:val="nil"/>
            </w:tcBorders>
            <w:shd w:val="clear" w:color="000000" w:fill="FFFFFF"/>
            <w:noWrap/>
            <w:vAlign w:val="bottom"/>
            <w:hideMark/>
          </w:tcPr>
          <w:p w14:paraId="69F62A43"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0.0071</w:t>
            </w:r>
          </w:p>
        </w:tc>
        <w:tc>
          <w:tcPr>
            <w:tcW w:w="1240" w:type="dxa"/>
            <w:tcBorders>
              <w:top w:val="single" w:sz="4" w:space="0" w:color="auto"/>
              <w:left w:val="nil"/>
              <w:bottom w:val="nil"/>
              <w:right w:val="nil"/>
            </w:tcBorders>
            <w:shd w:val="clear" w:color="000000" w:fill="FFFFFF"/>
            <w:noWrap/>
            <w:vAlign w:val="bottom"/>
            <w:hideMark/>
          </w:tcPr>
          <w:p w14:paraId="69F62A44"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c>
          <w:tcPr>
            <w:tcW w:w="960" w:type="dxa"/>
            <w:tcBorders>
              <w:top w:val="single" w:sz="4" w:space="0" w:color="auto"/>
              <w:left w:val="nil"/>
              <w:bottom w:val="nil"/>
              <w:right w:val="nil"/>
            </w:tcBorders>
            <w:shd w:val="clear" w:color="000000" w:fill="FFFFFF"/>
            <w:noWrap/>
            <w:vAlign w:val="bottom"/>
            <w:hideMark/>
          </w:tcPr>
          <w:p w14:paraId="69F62A45"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0.0049</w:t>
            </w:r>
          </w:p>
        </w:tc>
        <w:tc>
          <w:tcPr>
            <w:tcW w:w="960" w:type="dxa"/>
            <w:tcBorders>
              <w:top w:val="single" w:sz="4" w:space="0" w:color="auto"/>
              <w:left w:val="nil"/>
              <w:bottom w:val="nil"/>
              <w:right w:val="nil"/>
            </w:tcBorders>
            <w:shd w:val="clear" w:color="000000" w:fill="FFFFFF"/>
            <w:noWrap/>
            <w:vAlign w:val="bottom"/>
            <w:hideMark/>
          </w:tcPr>
          <w:p w14:paraId="69F62A46"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4D"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48"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Employment density</w:t>
            </w:r>
          </w:p>
        </w:tc>
        <w:tc>
          <w:tcPr>
            <w:tcW w:w="1240" w:type="dxa"/>
            <w:tcBorders>
              <w:top w:val="nil"/>
              <w:left w:val="nil"/>
              <w:bottom w:val="nil"/>
              <w:right w:val="nil"/>
            </w:tcBorders>
            <w:shd w:val="clear" w:color="000000" w:fill="FFFFFF"/>
            <w:noWrap/>
            <w:vAlign w:val="bottom"/>
            <w:hideMark/>
          </w:tcPr>
          <w:p w14:paraId="69F62A49"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0.0017</w:t>
            </w:r>
          </w:p>
        </w:tc>
        <w:tc>
          <w:tcPr>
            <w:tcW w:w="1240" w:type="dxa"/>
            <w:tcBorders>
              <w:top w:val="nil"/>
              <w:left w:val="nil"/>
              <w:bottom w:val="nil"/>
              <w:right w:val="nil"/>
            </w:tcBorders>
            <w:shd w:val="clear" w:color="000000" w:fill="FFFFFF"/>
            <w:noWrap/>
            <w:vAlign w:val="bottom"/>
            <w:hideMark/>
          </w:tcPr>
          <w:p w14:paraId="69F62A4A"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c>
          <w:tcPr>
            <w:tcW w:w="960" w:type="dxa"/>
            <w:tcBorders>
              <w:top w:val="nil"/>
              <w:left w:val="nil"/>
              <w:bottom w:val="nil"/>
              <w:right w:val="nil"/>
            </w:tcBorders>
            <w:shd w:val="clear" w:color="000000" w:fill="FFFFFF"/>
            <w:noWrap/>
            <w:vAlign w:val="bottom"/>
            <w:hideMark/>
          </w:tcPr>
          <w:p w14:paraId="69F62A4B"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0.0015</w:t>
            </w:r>
          </w:p>
        </w:tc>
        <w:tc>
          <w:tcPr>
            <w:tcW w:w="960" w:type="dxa"/>
            <w:tcBorders>
              <w:top w:val="nil"/>
              <w:left w:val="nil"/>
              <w:bottom w:val="nil"/>
              <w:right w:val="nil"/>
            </w:tcBorders>
            <w:shd w:val="clear" w:color="000000" w:fill="FFFFFF"/>
            <w:noWrap/>
            <w:vAlign w:val="bottom"/>
            <w:hideMark/>
          </w:tcPr>
          <w:p w14:paraId="69F62A4C"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53"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4E"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Maximum elevation</w:t>
            </w:r>
          </w:p>
        </w:tc>
        <w:tc>
          <w:tcPr>
            <w:tcW w:w="1240" w:type="dxa"/>
            <w:tcBorders>
              <w:top w:val="nil"/>
              <w:left w:val="nil"/>
              <w:bottom w:val="nil"/>
              <w:right w:val="nil"/>
            </w:tcBorders>
            <w:shd w:val="clear" w:color="000000" w:fill="FFFFFF"/>
            <w:noWrap/>
            <w:vAlign w:val="bottom"/>
            <w:hideMark/>
          </w:tcPr>
          <w:p w14:paraId="69F62A4F"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-0.0045</w:t>
            </w:r>
          </w:p>
        </w:tc>
        <w:tc>
          <w:tcPr>
            <w:tcW w:w="1240" w:type="dxa"/>
            <w:tcBorders>
              <w:top w:val="nil"/>
              <w:left w:val="nil"/>
              <w:bottom w:val="nil"/>
              <w:right w:val="nil"/>
            </w:tcBorders>
            <w:shd w:val="clear" w:color="000000" w:fill="FFFFFF"/>
            <w:noWrap/>
            <w:vAlign w:val="bottom"/>
            <w:hideMark/>
          </w:tcPr>
          <w:p w14:paraId="69F62A50"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c>
          <w:tcPr>
            <w:tcW w:w="960" w:type="dxa"/>
            <w:tcBorders>
              <w:top w:val="nil"/>
              <w:left w:val="nil"/>
              <w:bottom w:val="nil"/>
              <w:right w:val="nil"/>
            </w:tcBorders>
            <w:shd w:val="clear" w:color="000000" w:fill="FFFFFF"/>
            <w:noWrap/>
            <w:vAlign w:val="bottom"/>
            <w:hideMark/>
          </w:tcPr>
          <w:p w14:paraId="69F62A51"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-0.0032</w:t>
            </w:r>
          </w:p>
        </w:tc>
        <w:tc>
          <w:tcPr>
            <w:tcW w:w="960" w:type="dxa"/>
            <w:tcBorders>
              <w:top w:val="nil"/>
              <w:left w:val="nil"/>
              <w:bottom w:val="nil"/>
              <w:right w:val="nil"/>
            </w:tcBorders>
            <w:shd w:val="clear" w:color="000000" w:fill="FFFFFF"/>
            <w:noWrap/>
            <w:vAlign w:val="bottom"/>
            <w:hideMark/>
          </w:tcPr>
          <w:p w14:paraId="69F62A52"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59"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54"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SEIFA</w:t>
            </w:r>
          </w:p>
        </w:tc>
        <w:tc>
          <w:tcPr>
            <w:tcW w:w="1240" w:type="dxa"/>
            <w:tcBorders>
              <w:top w:val="nil"/>
              <w:left w:val="nil"/>
              <w:bottom w:val="nil"/>
              <w:right w:val="nil"/>
            </w:tcBorders>
            <w:shd w:val="clear" w:color="000000" w:fill="FFFFFF"/>
            <w:noWrap/>
            <w:vAlign w:val="bottom"/>
            <w:hideMark/>
          </w:tcPr>
          <w:p w14:paraId="69F62A55"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-0.0006</w:t>
            </w:r>
          </w:p>
        </w:tc>
        <w:tc>
          <w:tcPr>
            <w:tcW w:w="1240" w:type="dxa"/>
            <w:tcBorders>
              <w:top w:val="nil"/>
              <w:left w:val="nil"/>
              <w:bottom w:val="nil"/>
              <w:right w:val="nil"/>
            </w:tcBorders>
            <w:shd w:val="clear" w:color="000000" w:fill="FFFFFF"/>
            <w:noWrap/>
            <w:vAlign w:val="bottom"/>
            <w:hideMark/>
          </w:tcPr>
          <w:p w14:paraId="69F62A56"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c>
          <w:tcPr>
            <w:tcW w:w="960" w:type="dxa"/>
            <w:tcBorders>
              <w:top w:val="nil"/>
              <w:left w:val="nil"/>
              <w:bottom w:val="nil"/>
              <w:right w:val="nil"/>
            </w:tcBorders>
            <w:shd w:val="clear" w:color="000000" w:fill="FFFFFF"/>
            <w:noWrap/>
            <w:vAlign w:val="bottom"/>
            <w:hideMark/>
          </w:tcPr>
          <w:p w14:paraId="69F62A57"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-0.0029</w:t>
            </w:r>
          </w:p>
        </w:tc>
        <w:tc>
          <w:tcPr>
            <w:tcW w:w="960" w:type="dxa"/>
            <w:tcBorders>
              <w:top w:val="nil"/>
              <w:left w:val="nil"/>
              <w:bottom w:val="nil"/>
              <w:right w:val="nil"/>
            </w:tcBorders>
            <w:shd w:val="clear" w:color="000000" w:fill="FFFFFF"/>
            <w:noWrap/>
            <w:vAlign w:val="bottom"/>
            <w:hideMark/>
          </w:tcPr>
          <w:p w14:paraId="69F62A58"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5F"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5A"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Distance to inland water by public transport</w:t>
            </w:r>
          </w:p>
        </w:tc>
        <w:tc>
          <w:tcPr>
            <w:tcW w:w="1240" w:type="dxa"/>
            <w:tcBorders>
              <w:top w:val="nil"/>
              <w:left w:val="nil"/>
              <w:bottom w:val="nil"/>
              <w:right w:val="nil"/>
            </w:tcBorders>
            <w:shd w:val="clear" w:color="000000" w:fill="FFFFFF"/>
            <w:noWrap/>
            <w:vAlign w:val="bottom"/>
            <w:hideMark/>
          </w:tcPr>
          <w:p w14:paraId="69F62A5B"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nil"/>
              <w:left w:val="nil"/>
              <w:bottom w:val="nil"/>
              <w:right w:val="nil"/>
            </w:tcBorders>
            <w:shd w:val="clear" w:color="000000" w:fill="FFFFFF"/>
            <w:noWrap/>
            <w:vAlign w:val="bottom"/>
            <w:hideMark/>
          </w:tcPr>
          <w:p w14:paraId="69F62A5C"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5D"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-0.0076</w:t>
            </w:r>
          </w:p>
        </w:tc>
        <w:tc>
          <w:tcPr>
            <w:tcW w:w="960" w:type="dxa"/>
            <w:tcBorders>
              <w:top w:val="nil"/>
              <w:left w:val="nil"/>
              <w:bottom w:val="nil"/>
              <w:right w:val="nil"/>
            </w:tcBorders>
            <w:shd w:val="clear" w:color="000000" w:fill="FFFFFF"/>
            <w:noWrap/>
            <w:vAlign w:val="bottom"/>
            <w:hideMark/>
          </w:tcPr>
          <w:p w14:paraId="69F62A5E"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65"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60"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Distance to beach by public transport</w:t>
            </w:r>
          </w:p>
        </w:tc>
        <w:tc>
          <w:tcPr>
            <w:tcW w:w="1240" w:type="dxa"/>
            <w:tcBorders>
              <w:top w:val="nil"/>
              <w:left w:val="nil"/>
              <w:bottom w:val="nil"/>
              <w:right w:val="nil"/>
            </w:tcBorders>
            <w:shd w:val="clear" w:color="000000" w:fill="FFFFFF"/>
            <w:noWrap/>
            <w:vAlign w:val="bottom"/>
            <w:hideMark/>
          </w:tcPr>
          <w:p w14:paraId="69F62A61"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nil"/>
              <w:left w:val="nil"/>
              <w:bottom w:val="nil"/>
              <w:right w:val="nil"/>
            </w:tcBorders>
            <w:shd w:val="clear" w:color="000000" w:fill="FFFFFF"/>
            <w:noWrap/>
            <w:vAlign w:val="bottom"/>
            <w:hideMark/>
          </w:tcPr>
          <w:p w14:paraId="69F62A62"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63"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-0.0111</w:t>
            </w:r>
          </w:p>
        </w:tc>
        <w:tc>
          <w:tcPr>
            <w:tcW w:w="960" w:type="dxa"/>
            <w:tcBorders>
              <w:top w:val="nil"/>
              <w:left w:val="nil"/>
              <w:bottom w:val="nil"/>
              <w:right w:val="nil"/>
            </w:tcBorders>
            <w:shd w:val="clear" w:color="000000" w:fill="FFFFFF"/>
            <w:noWrap/>
            <w:vAlign w:val="bottom"/>
            <w:hideMark/>
          </w:tcPr>
          <w:p w14:paraId="69F62A64"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6B"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66" w14:textId="77777777" w:rsidR="004B2386" w:rsidRPr="006705A4" w:rsidRDefault="004B2386" w:rsidP="00382A2A">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xml:space="preserve">Percentage of </w:t>
            </w:r>
            <w:r w:rsidR="00382A2A" w:rsidRPr="006705A4">
              <w:rPr>
                <w:rFonts w:eastAsia="Times New Roman" w:cs="Arial"/>
                <w:color w:val="000000"/>
                <w:sz w:val="20"/>
                <w:szCs w:val="20"/>
                <w:lang w:eastAsia="en-AU"/>
              </w:rPr>
              <w:t xml:space="preserve">indigenous </w:t>
            </w:r>
            <w:r w:rsidRPr="006705A4">
              <w:rPr>
                <w:rFonts w:eastAsia="Times New Roman" w:cs="Arial"/>
                <w:color w:val="000000"/>
                <w:sz w:val="20"/>
                <w:szCs w:val="20"/>
                <w:lang w:eastAsia="en-AU"/>
              </w:rPr>
              <w:t>population</w:t>
            </w:r>
          </w:p>
        </w:tc>
        <w:tc>
          <w:tcPr>
            <w:tcW w:w="1240" w:type="dxa"/>
            <w:tcBorders>
              <w:top w:val="nil"/>
              <w:left w:val="nil"/>
              <w:bottom w:val="nil"/>
              <w:right w:val="nil"/>
            </w:tcBorders>
            <w:shd w:val="clear" w:color="000000" w:fill="FFFFFF"/>
            <w:noWrap/>
            <w:vAlign w:val="bottom"/>
            <w:hideMark/>
          </w:tcPr>
          <w:p w14:paraId="69F62A67"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nil"/>
              <w:left w:val="nil"/>
              <w:bottom w:val="nil"/>
              <w:right w:val="nil"/>
            </w:tcBorders>
            <w:shd w:val="clear" w:color="000000" w:fill="FFFFFF"/>
            <w:noWrap/>
            <w:vAlign w:val="bottom"/>
            <w:hideMark/>
          </w:tcPr>
          <w:p w14:paraId="69F62A68"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69"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-4.0433</w:t>
            </w:r>
          </w:p>
        </w:tc>
        <w:tc>
          <w:tcPr>
            <w:tcW w:w="960" w:type="dxa"/>
            <w:tcBorders>
              <w:top w:val="nil"/>
              <w:left w:val="nil"/>
              <w:bottom w:val="nil"/>
              <w:right w:val="nil"/>
            </w:tcBorders>
            <w:shd w:val="clear" w:color="000000" w:fill="FFFFFF"/>
            <w:noWrap/>
            <w:vAlign w:val="bottom"/>
            <w:hideMark/>
          </w:tcPr>
          <w:p w14:paraId="69F62A6A"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71"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6C"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Percentage of low-income population</w:t>
            </w:r>
          </w:p>
        </w:tc>
        <w:tc>
          <w:tcPr>
            <w:tcW w:w="1240" w:type="dxa"/>
            <w:tcBorders>
              <w:top w:val="nil"/>
              <w:left w:val="nil"/>
              <w:bottom w:val="nil"/>
              <w:right w:val="nil"/>
            </w:tcBorders>
            <w:shd w:val="clear" w:color="000000" w:fill="FFFFFF"/>
            <w:noWrap/>
            <w:vAlign w:val="bottom"/>
            <w:hideMark/>
          </w:tcPr>
          <w:p w14:paraId="69F62A6D"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nil"/>
              <w:left w:val="nil"/>
              <w:bottom w:val="nil"/>
              <w:right w:val="nil"/>
            </w:tcBorders>
            <w:shd w:val="clear" w:color="000000" w:fill="FFFFFF"/>
            <w:noWrap/>
            <w:vAlign w:val="bottom"/>
            <w:hideMark/>
          </w:tcPr>
          <w:p w14:paraId="69F62A6E"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6F"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-1.2319</w:t>
            </w:r>
          </w:p>
        </w:tc>
        <w:tc>
          <w:tcPr>
            <w:tcW w:w="960" w:type="dxa"/>
            <w:tcBorders>
              <w:top w:val="nil"/>
              <w:left w:val="nil"/>
              <w:bottom w:val="nil"/>
              <w:right w:val="nil"/>
            </w:tcBorders>
            <w:shd w:val="clear" w:color="000000" w:fill="FFFFFF"/>
            <w:noWrap/>
            <w:vAlign w:val="bottom"/>
            <w:hideMark/>
          </w:tcPr>
          <w:p w14:paraId="69F62A70"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77"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72"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Percentage of older population</w:t>
            </w:r>
          </w:p>
        </w:tc>
        <w:tc>
          <w:tcPr>
            <w:tcW w:w="1240" w:type="dxa"/>
            <w:tcBorders>
              <w:top w:val="nil"/>
              <w:left w:val="nil"/>
              <w:bottom w:val="nil"/>
              <w:right w:val="nil"/>
            </w:tcBorders>
            <w:shd w:val="clear" w:color="000000" w:fill="FFFFFF"/>
            <w:noWrap/>
            <w:vAlign w:val="bottom"/>
            <w:hideMark/>
          </w:tcPr>
          <w:p w14:paraId="69F62A73"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1240" w:type="dxa"/>
            <w:tcBorders>
              <w:top w:val="nil"/>
              <w:left w:val="nil"/>
              <w:bottom w:val="nil"/>
              <w:right w:val="nil"/>
            </w:tcBorders>
            <w:shd w:val="clear" w:color="000000" w:fill="FFFFFF"/>
            <w:noWrap/>
            <w:vAlign w:val="bottom"/>
            <w:hideMark/>
          </w:tcPr>
          <w:p w14:paraId="69F62A74"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75"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-0.3479</w:t>
            </w:r>
          </w:p>
        </w:tc>
        <w:tc>
          <w:tcPr>
            <w:tcW w:w="960" w:type="dxa"/>
            <w:tcBorders>
              <w:top w:val="nil"/>
              <w:left w:val="nil"/>
              <w:bottom w:val="nil"/>
              <w:right w:val="nil"/>
            </w:tcBorders>
            <w:shd w:val="clear" w:color="000000" w:fill="FFFFFF"/>
            <w:noWrap/>
            <w:vAlign w:val="bottom"/>
            <w:hideMark/>
          </w:tcPr>
          <w:p w14:paraId="69F62A76"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0.028</w:t>
            </w:r>
          </w:p>
        </w:tc>
      </w:tr>
      <w:tr w:rsidR="004B2386" w:rsidRPr="006705A4" w14:paraId="69F62A7D" w14:textId="77777777" w:rsidTr="006705A4">
        <w:trPr>
          <w:trHeight w:val="300"/>
          <w:jc w:val="center"/>
        </w:trPr>
        <w:tc>
          <w:tcPr>
            <w:tcW w:w="4152" w:type="dxa"/>
            <w:tcBorders>
              <w:top w:val="nil"/>
              <w:left w:val="nil"/>
              <w:bottom w:val="single" w:sz="4" w:space="0" w:color="auto"/>
              <w:right w:val="nil"/>
            </w:tcBorders>
            <w:shd w:val="clear" w:color="000000" w:fill="FFFFFF"/>
            <w:noWrap/>
            <w:vAlign w:val="bottom"/>
            <w:hideMark/>
          </w:tcPr>
          <w:p w14:paraId="69F62A78" w14:textId="77777777" w:rsidR="004B2386" w:rsidRPr="006705A4" w:rsidRDefault="004B2386" w:rsidP="004B2386">
            <w:pPr>
              <w:spacing w:after="0" w:line="240" w:lineRule="auto"/>
              <w:rPr>
                <w:rFonts w:eastAsia="Times New Roman" w:cs="Arial"/>
                <w:i/>
                <w:iCs/>
                <w:color w:val="000000"/>
                <w:sz w:val="20"/>
                <w:szCs w:val="20"/>
                <w:lang w:eastAsia="en-AU"/>
              </w:rPr>
            </w:pPr>
            <w:r w:rsidRPr="006705A4">
              <w:rPr>
                <w:rFonts w:eastAsia="Times New Roman" w:cs="Arial"/>
                <w:i/>
                <w:iCs/>
                <w:color w:val="000000"/>
                <w:sz w:val="20"/>
                <w:szCs w:val="20"/>
                <w:lang w:eastAsia="en-AU"/>
              </w:rPr>
              <w:t>constant</w:t>
            </w:r>
          </w:p>
        </w:tc>
        <w:tc>
          <w:tcPr>
            <w:tcW w:w="1240" w:type="dxa"/>
            <w:tcBorders>
              <w:top w:val="nil"/>
              <w:left w:val="nil"/>
              <w:bottom w:val="nil"/>
              <w:right w:val="nil"/>
            </w:tcBorders>
            <w:shd w:val="clear" w:color="000000" w:fill="FFFFFF"/>
            <w:noWrap/>
            <w:vAlign w:val="bottom"/>
            <w:hideMark/>
          </w:tcPr>
          <w:p w14:paraId="69F62A79"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3.4363</w:t>
            </w:r>
          </w:p>
        </w:tc>
        <w:tc>
          <w:tcPr>
            <w:tcW w:w="1240" w:type="dxa"/>
            <w:tcBorders>
              <w:top w:val="nil"/>
              <w:left w:val="nil"/>
              <w:bottom w:val="nil"/>
              <w:right w:val="nil"/>
            </w:tcBorders>
            <w:shd w:val="clear" w:color="000000" w:fill="FFFFFF"/>
            <w:noWrap/>
            <w:vAlign w:val="bottom"/>
            <w:hideMark/>
          </w:tcPr>
          <w:p w14:paraId="69F62A7A"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c>
          <w:tcPr>
            <w:tcW w:w="960" w:type="dxa"/>
            <w:tcBorders>
              <w:top w:val="nil"/>
              <w:left w:val="nil"/>
              <w:bottom w:val="single" w:sz="4" w:space="0" w:color="auto"/>
              <w:right w:val="nil"/>
            </w:tcBorders>
            <w:shd w:val="clear" w:color="000000" w:fill="FFFFFF"/>
            <w:noWrap/>
            <w:vAlign w:val="bottom"/>
            <w:hideMark/>
          </w:tcPr>
          <w:p w14:paraId="69F62A7B"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7.3294</w:t>
            </w:r>
          </w:p>
        </w:tc>
        <w:tc>
          <w:tcPr>
            <w:tcW w:w="960" w:type="dxa"/>
            <w:tcBorders>
              <w:top w:val="nil"/>
              <w:left w:val="nil"/>
              <w:bottom w:val="single" w:sz="4" w:space="0" w:color="auto"/>
              <w:right w:val="nil"/>
            </w:tcBorders>
            <w:shd w:val="clear" w:color="000000" w:fill="FFFFFF"/>
            <w:noWrap/>
            <w:vAlign w:val="bottom"/>
            <w:hideMark/>
          </w:tcPr>
          <w:p w14:paraId="69F62A7C"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0.000</w:t>
            </w:r>
          </w:p>
        </w:tc>
      </w:tr>
      <w:tr w:rsidR="004B2386" w:rsidRPr="006705A4" w14:paraId="69F62A83"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7E"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Number of obs</w:t>
            </w:r>
          </w:p>
        </w:tc>
        <w:tc>
          <w:tcPr>
            <w:tcW w:w="1240" w:type="dxa"/>
            <w:tcBorders>
              <w:top w:val="single" w:sz="4" w:space="0" w:color="auto"/>
              <w:left w:val="nil"/>
              <w:bottom w:val="nil"/>
              <w:right w:val="nil"/>
            </w:tcBorders>
            <w:shd w:val="clear" w:color="000000" w:fill="FFFFFF"/>
            <w:noWrap/>
            <w:vAlign w:val="bottom"/>
            <w:hideMark/>
          </w:tcPr>
          <w:p w14:paraId="69F62A7F"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9065</w:t>
            </w:r>
          </w:p>
        </w:tc>
        <w:tc>
          <w:tcPr>
            <w:tcW w:w="1240" w:type="dxa"/>
            <w:tcBorders>
              <w:top w:val="single" w:sz="4" w:space="0" w:color="auto"/>
              <w:left w:val="nil"/>
              <w:bottom w:val="nil"/>
              <w:right w:val="nil"/>
            </w:tcBorders>
            <w:shd w:val="clear" w:color="000000" w:fill="FFFFFF"/>
            <w:noWrap/>
            <w:vAlign w:val="bottom"/>
            <w:hideMark/>
          </w:tcPr>
          <w:p w14:paraId="69F62A80"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81"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9065</w:t>
            </w:r>
          </w:p>
        </w:tc>
        <w:tc>
          <w:tcPr>
            <w:tcW w:w="960" w:type="dxa"/>
            <w:tcBorders>
              <w:top w:val="nil"/>
              <w:left w:val="nil"/>
              <w:bottom w:val="nil"/>
              <w:right w:val="nil"/>
            </w:tcBorders>
            <w:shd w:val="clear" w:color="000000" w:fill="FFFFFF"/>
            <w:noWrap/>
            <w:vAlign w:val="bottom"/>
            <w:hideMark/>
          </w:tcPr>
          <w:p w14:paraId="69F62A82"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r w:rsidR="004B2386" w:rsidRPr="006705A4" w14:paraId="69F62A89" w14:textId="77777777" w:rsidTr="006705A4">
        <w:trPr>
          <w:trHeight w:val="300"/>
          <w:jc w:val="center"/>
        </w:trPr>
        <w:tc>
          <w:tcPr>
            <w:tcW w:w="4152" w:type="dxa"/>
            <w:tcBorders>
              <w:top w:val="nil"/>
              <w:left w:val="nil"/>
              <w:bottom w:val="nil"/>
              <w:right w:val="nil"/>
            </w:tcBorders>
            <w:shd w:val="clear" w:color="000000" w:fill="FFFFFF"/>
            <w:noWrap/>
            <w:vAlign w:val="bottom"/>
            <w:hideMark/>
          </w:tcPr>
          <w:p w14:paraId="69F62A84"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R-squared</w:t>
            </w:r>
          </w:p>
        </w:tc>
        <w:tc>
          <w:tcPr>
            <w:tcW w:w="1240" w:type="dxa"/>
            <w:tcBorders>
              <w:top w:val="nil"/>
              <w:left w:val="nil"/>
              <w:bottom w:val="nil"/>
              <w:right w:val="nil"/>
            </w:tcBorders>
            <w:shd w:val="clear" w:color="000000" w:fill="FFFFFF"/>
            <w:noWrap/>
            <w:vAlign w:val="bottom"/>
            <w:hideMark/>
          </w:tcPr>
          <w:p w14:paraId="69F62A85"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0.271</w:t>
            </w:r>
            <w:r w:rsidR="006705A4">
              <w:rPr>
                <w:rFonts w:eastAsia="Times New Roman" w:cs="Arial"/>
                <w:color w:val="000000"/>
                <w:sz w:val="20"/>
                <w:szCs w:val="20"/>
                <w:lang w:eastAsia="en-AU"/>
              </w:rPr>
              <w:t>0</w:t>
            </w:r>
          </w:p>
        </w:tc>
        <w:tc>
          <w:tcPr>
            <w:tcW w:w="1240" w:type="dxa"/>
            <w:tcBorders>
              <w:top w:val="nil"/>
              <w:left w:val="nil"/>
              <w:bottom w:val="nil"/>
              <w:right w:val="nil"/>
            </w:tcBorders>
            <w:shd w:val="clear" w:color="000000" w:fill="FFFFFF"/>
            <w:noWrap/>
            <w:vAlign w:val="bottom"/>
            <w:hideMark/>
          </w:tcPr>
          <w:p w14:paraId="69F62A86"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nil"/>
              <w:right w:val="nil"/>
            </w:tcBorders>
            <w:shd w:val="clear" w:color="000000" w:fill="FFFFFF"/>
            <w:noWrap/>
            <w:vAlign w:val="bottom"/>
            <w:hideMark/>
          </w:tcPr>
          <w:p w14:paraId="69F62A87"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0.373</w:t>
            </w:r>
            <w:r w:rsidR="006705A4">
              <w:rPr>
                <w:rFonts w:eastAsia="Times New Roman" w:cs="Arial"/>
                <w:color w:val="000000"/>
                <w:sz w:val="20"/>
                <w:szCs w:val="20"/>
                <w:lang w:eastAsia="en-AU"/>
              </w:rPr>
              <w:t>0</w:t>
            </w:r>
          </w:p>
        </w:tc>
        <w:tc>
          <w:tcPr>
            <w:tcW w:w="960" w:type="dxa"/>
            <w:tcBorders>
              <w:top w:val="nil"/>
              <w:left w:val="nil"/>
              <w:bottom w:val="nil"/>
              <w:right w:val="nil"/>
            </w:tcBorders>
            <w:shd w:val="clear" w:color="000000" w:fill="FFFFFF"/>
            <w:noWrap/>
            <w:vAlign w:val="bottom"/>
            <w:hideMark/>
          </w:tcPr>
          <w:p w14:paraId="69F62A88"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r w:rsidR="004B2386" w:rsidRPr="006705A4" w14:paraId="69F62A8F" w14:textId="77777777" w:rsidTr="006705A4">
        <w:trPr>
          <w:trHeight w:val="300"/>
          <w:jc w:val="center"/>
        </w:trPr>
        <w:tc>
          <w:tcPr>
            <w:tcW w:w="4152" w:type="dxa"/>
            <w:tcBorders>
              <w:top w:val="nil"/>
              <w:left w:val="nil"/>
              <w:bottom w:val="single" w:sz="4" w:space="0" w:color="auto"/>
              <w:right w:val="nil"/>
            </w:tcBorders>
            <w:shd w:val="clear" w:color="000000" w:fill="FFFFFF"/>
            <w:noWrap/>
            <w:vAlign w:val="bottom"/>
            <w:hideMark/>
          </w:tcPr>
          <w:p w14:paraId="69F62A8A"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Adj R-squared</w:t>
            </w:r>
          </w:p>
        </w:tc>
        <w:tc>
          <w:tcPr>
            <w:tcW w:w="1240" w:type="dxa"/>
            <w:tcBorders>
              <w:top w:val="nil"/>
              <w:left w:val="nil"/>
              <w:bottom w:val="single" w:sz="4" w:space="0" w:color="auto"/>
              <w:right w:val="nil"/>
            </w:tcBorders>
            <w:shd w:val="clear" w:color="000000" w:fill="FFFFFF"/>
            <w:noWrap/>
            <w:vAlign w:val="bottom"/>
            <w:hideMark/>
          </w:tcPr>
          <w:p w14:paraId="69F62A8B"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0.271</w:t>
            </w:r>
            <w:r w:rsidR="006705A4">
              <w:rPr>
                <w:rFonts w:eastAsia="Times New Roman" w:cs="Arial"/>
                <w:color w:val="000000"/>
                <w:sz w:val="20"/>
                <w:szCs w:val="20"/>
                <w:lang w:eastAsia="en-AU"/>
              </w:rPr>
              <w:t>0</w:t>
            </w:r>
          </w:p>
        </w:tc>
        <w:tc>
          <w:tcPr>
            <w:tcW w:w="1240" w:type="dxa"/>
            <w:tcBorders>
              <w:top w:val="nil"/>
              <w:left w:val="nil"/>
              <w:bottom w:val="single" w:sz="4" w:space="0" w:color="auto"/>
              <w:right w:val="nil"/>
            </w:tcBorders>
            <w:shd w:val="clear" w:color="000000" w:fill="FFFFFF"/>
            <w:noWrap/>
            <w:vAlign w:val="bottom"/>
            <w:hideMark/>
          </w:tcPr>
          <w:p w14:paraId="69F62A8C"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c>
          <w:tcPr>
            <w:tcW w:w="960" w:type="dxa"/>
            <w:tcBorders>
              <w:top w:val="nil"/>
              <w:left w:val="nil"/>
              <w:bottom w:val="single" w:sz="4" w:space="0" w:color="auto"/>
              <w:right w:val="nil"/>
            </w:tcBorders>
            <w:shd w:val="clear" w:color="000000" w:fill="FFFFFF"/>
            <w:noWrap/>
            <w:vAlign w:val="bottom"/>
            <w:hideMark/>
          </w:tcPr>
          <w:p w14:paraId="69F62A8D" w14:textId="77777777" w:rsidR="004B2386" w:rsidRPr="006705A4" w:rsidRDefault="004B2386" w:rsidP="004B2386">
            <w:pPr>
              <w:spacing w:after="0" w:line="240" w:lineRule="auto"/>
              <w:jc w:val="right"/>
              <w:rPr>
                <w:rFonts w:eastAsia="Times New Roman" w:cs="Arial"/>
                <w:color w:val="000000"/>
                <w:sz w:val="20"/>
                <w:szCs w:val="20"/>
                <w:lang w:eastAsia="en-AU"/>
              </w:rPr>
            </w:pPr>
            <w:r w:rsidRPr="006705A4">
              <w:rPr>
                <w:rFonts w:eastAsia="Times New Roman" w:cs="Arial"/>
                <w:color w:val="000000"/>
                <w:sz w:val="20"/>
                <w:szCs w:val="20"/>
                <w:lang w:eastAsia="en-AU"/>
              </w:rPr>
              <w:t>0.372</w:t>
            </w:r>
            <w:r w:rsidR="006705A4">
              <w:rPr>
                <w:rFonts w:eastAsia="Times New Roman" w:cs="Arial"/>
                <w:color w:val="000000"/>
                <w:sz w:val="20"/>
                <w:szCs w:val="20"/>
                <w:lang w:eastAsia="en-AU"/>
              </w:rPr>
              <w:t>0</w:t>
            </w:r>
          </w:p>
        </w:tc>
        <w:tc>
          <w:tcPr>
            <w:tcW w:w="960" w:type="dxa"/>
            <w:tcBorders>
              <w:top w:val="nil"/>
              <w:left w:val="nil"/>
              <w:bottom w:val="single" w:sz="4" w:space="0" w:color="auto"/>
              <w:right w:val="nil"/>
            </w:tcBorders>
            <w:shd w:val="clear" w:color="000000" w:fill="FFFFFF"/>
            <w:noWrap/>
            <w:vAlign w:val="bottom"/>
            <w:hideMark/>
          </w:tcPr>
          <w:p w14:paraId="69F62A8E" w14:textId="77777777" w:rsidR="004B2386" w:rsidRPr="006705A4" w:rsidRDefault="004B2386" w:rsidP="004B2386">
            <w:pPr>
              <w:spacing w:after="0" w:line="240" w:lineRule="auto"/>
              <w:rPr>
                <w:rFonts w:eastAsia="Times New Roman" w:cs="Arial"/>
                <w:color w:val="000000"/>
                <w:sz w:val="20"/>
                <w:szCs w:val="20"/>
                <w:lang w:eastAsia="en-AU"/>
              </w:rPr>
            </w:pPr>
            <w:r w:rsidRPr="006705A4">
              <w:rPr>
                <w:rFonts w:eastAsia="Times New Roman" w:cs="Arial"/>
                <w:color w:val="000000"/>
                <w:sz w:val="20"/>
                <w:szCs w:val="20"/>
                <w:lang w:eastAsia="en-AU"/>
              </w:rPr>
              <w:t> </w:t>
            </w:r>
          </w:p>
        </w:tc>
      </w:tr>
    </w:tbl>
    <w:p w14:paraId="69F62A90" w14:textId="77777777" w:rsidR="006705A4" w:rsidRDefault="006705A4" w:rsidP="00382A2A">
      <w:pPr>
        <w:rPr>
          <w:lang w:eastAsia="zh-CN"/>
        </w:rPr>
      </w:pPr>
    </w:p>
    <w:p w14:paraId="69F62A91" w14:textId="77777777" w:rsidR="00382A2A" w:rsidRPr="00A44AFE" w:rsidRDefault="00382A2A" w:rsidP="00382A2A">
      <w:pPr>
        <w:rPr>
          <w:lang w:eastAsia="zh-CN"/>
        </w:rPr>
      </w:pPr>
      <w:r>
        <w:rPr>
          <w:lang w:eastAsia="zh-CN"/>
        </w:rPr>
        <w:t>As the model is a semi-log functional form, the estimated coefficients may be interpreted as percentage change to the dependent variable.</w:t>
      </w:r>
      <w:r w:rsidR="006705A4">
        <w:rPr>
          <w:lang w:eastAsia="zh-CN"/>
        </w:rPr>
        <w:t xml:space="preserve"> </w:t>
      </w:r>
      <w:r>
        <w:rPr>
          <w:lang w:eastAsia="zh-CN"/>
        </w:rPr>
        <w:t>Both Table 5 and Table 6 show that a change in the percentage of population has a very significant effect on the PTAL for both the peak and off-peak models (over 300% and 400% respectively).</w:t>
      </w:r>
      <w:r w:rsidR="006705A4">
        <w:rPr>
          <w:lang w:eastAsia="zh-CN"/>
        </w:rPr>
        <w:t xml:space="preserve"> </w:t>
      </w:r>
      <w:r>
        <w:rPr>
          <w:lang w:eastAsia="zh-CN"/>
        </w:rPr>
        <w:t>However, whilst these percentages are big, a 1% increase in the indigenous population would represent a doubling of the indigenous population (see Table 4).</w:t>
      </w:r>
      <w:r w:rsidR="006705A4">
        <w:rPr>
          <w:lang w:eastAsia="zh-CN"/>
        </w:rPr>
        <w:t xml:space="preserve"> </w:t>
      </w:r>
      <w:r>
        <w:rPr>
          <w:lang w:eastAsia="zh-CN"/>
        </w:rPr>
        <w:t>This does not mean that it is unimportant but that the impact of change of the independent variable needs to be understood in the context of the means of the variables.</w:t>
      </w:r>
    </w:p>
    <w:p w14:paraId="69F62A92" w14:textId="77777777" w:rsidR="00382A2A" w:rsidRDefault="00382A2A" w:rsidP="001E76A9">
      <w:pPr>
        <w:rPr>
          <w:lang w:val="en-US"/>
        </w:rPr>
      </w:pPr>
      <w:r>
        <w:rPr>
          <w:lang w:val="en-US"/>
        </w:rPr>
        <w:t>Figure 4 shows the residual distribution of the peak hour model.</w:t>
      </w:r>
      <w:r w:rsidR="006705A4">
        <w:rPr>
          <w:lang w:val="en-US"/>
        </w:rPr>
        <w:t xml:space="preserve"> </w:t>
      </w:r>
      <w:r>
        <w:rPr>
          <w:lang w:val="en-US"/>
        </w:rPr>
        <w:t xml:space="preserve">This shows where the model is over and underestimating the match between supply, measured by PTAL, and the combined effect of all independent variables. </w:t>
      </w:r>
      <w:r w:rsidR="007E7B93">
        <w:rPr>
          <w:lang w:val="en-US"/>
        </w:rPr>
        <w:t>The blue/green areas show where the level of supply is lower than might be expected from the model, whereas the orange/red is the opposite – where the level of supply is higher than might be expected from the model.</w:t>
      </w:r>
      <w:r w:rsidR="006705A4">
        <w:rPr>
          <w:lang w:val="en-US"/>
        </w:rPr>
        <w:t xml:space="preserve"> </w:t>
      </w:r>
      <w:r w:rsidR="007E7B93">
        <w:rPr>
          <w:lang w:val="en-US"/>
        </w:rPr>
        <w:t>This shows clearly greater lower supply at the periphery of the map but also clear red areas following the strategic corridors where the network planning has deliberately built up frequency.</w:t>
      </w:r>
    </w:p>
    <w:p w14:paraId="69F62A93" w14:textId="77777777" w:rsidR="007E7B93" w:rsidRDefault="007E7B93" w:rsidP="001E76A9">
      <w:pPr>
        <w:rPr>
          <w:lang w:val="en-US"/>
        </w:rPr>
        <w:sectPr w:rsidR="007E7B93" w:rsidSect="00FF3324">
          <w:pgSz w:w="11906" w:h="16838"/>
          <w:pgMar w:top="1440" w:right="1440" w:bottom="1440" w:left="1440" w:header="708" w:footer="708" w:gutter="0"/>
          <w:cols w:space="708"/>
          <w:docGrid w:linePitch="360"/>
        </w:sectPr>
      </w:pPr>
    </w:p>
    <w:p w14:paraId="69F62A94" w14:textId="2B4C9C72" w:rsidR="006705A4" w:rsidRDefault="006006D5" w:rsidP="006705A4">
      <w:pPr>
        <w:spacing w:after="0"/>
        <w:jc w:val="center"/>
        <w:rPr>
          <w:rFonts w:eastAsia="Times New Roman" w:cs="Arial"/>
          <w:b/>
          <w:color w:val="000000"/>
          <w:lang w:val="en-US"/>
        </w:rPr>
      </w:pPr>
      <w:r w:rsidRPr="006006D5">
        <w:rPr>
          <w:noProof/>
          <w:lang w:eastAsia="en-AU"/>
        </w:rPr>
        <w:lastRenderedPageBreak/>
        <w:drawing>
          <wp:inline distT="0" distB="0" distL="0" distR="0" wp14:anchorId="69F62ACF" wp14:editId="212892EF">
            <wp:extent cx="7369592" cy="5210612"/>
            <wp:effectExtent l="0" t="0" r="3175" b="9525"/>
            <wp:docPr id="4" name="Picture 4" descr="N:\ITLS\PT-Team\Project - Network planning guideline\Maps\Resid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TLS\PT-Team\Project - Network planning guideline\Maps\Residual.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397270" cy="5230182"/>
                    </a:xfrm>
                    <a:prstGeom prst="rect">
                      <a:avLst/>
                    </a:prstGeom>
                    <a:noFill/>
                    <a:ln>
                      <a:noFill/>
                    </a:ln>
                  </pic:spPr>
                </pic:pic>
              </a:graphicData>
            </a:graphic>
          </wp:inline>
        </w:drawing>
      </w:r>
      <w:r w:rsidR="006705A4" w:rsidRPr="006705A4">
        <w:rPr>
          <w:rFonts w:eastAsia="Times New Roman" w:cs="Arial"/>
          <w:b/>
          <w:color w:val="000000"/>
          <w:lang w:val="en-US"/>
        </w:rPr>
        <w:t xml:space="preserve"> </w:t>
      </w:r>
    </w:p>
    <w:p w14:paraId="69F62A95" w14:textId="77777777" w:rsidR="006705A4" w:rsidRPr="006705A4" w:rsidRDefault="006705A4" w:rsidP="006705A4">
      <w:pPr>
        <w:spacing w:after="0"/>
        <w:jc w:val="center"/>
        <w:rPr>
          <w:rFonts w:eastAsia="Times New Roman" w:cs="Arial"/>
          <w:b/>
          <w:color w:val="000000"/>
          <w:lang w:val="en-US"/>
        </w:rPr>
      </w:pPr>
      <w:r w:rsidRPr="006705A4">
        <w:rPr>
          <w:rFonts w:eastAsia="Times New Roman" w:cs="Arial"/>
          <w:b/>
          <w:color w:val="000000"/>
          <w:lang w:val="en-US"/>
        </w:rPr>
        <w:t>Figure 4: Residual distribution of peak-hour model</w:t>
      </w:r>
    </w:p>
    <w:p w14:paraId="69F62A97" w14:textId="77777777" w:rsidR="006705A4" w:rsidRDefault="006705A4" w:rsidP="001E76A9">
      <w:pPr>
        <w:rPr>
          <w:lang w:val="en-US"/>
        </w:rPr>
      </w:pPr>
    </w:p>
    <w:p w14:paraId="69F62A98" w14:textId="77777777" w:rsidR="006705A4" w:rsidRDefault="006705A4" w:rsidP="001E76A9">
      <w:pPr>
        <w:rPr>
          <w:lang w:val="en-US"/>
        </w:rPr>
        <w:sectPr w:rsidR="006705A4" w:rsidSect="007E7B93">
          <w:pgSz w:w="16838" w:h="11906" w:orient="landscape"/>
          <w:pgMar w:top="1440" w:right="1440" w:bottom="1440" w:left="1440" w:header="708" w:footer="708" w:gutter="0"/>
          <w:cols w:space="708"/>
          <w:docGrid w:linePitch="360"/>
        </w:sectPr>
      </w:pPr>
    </w:p>
    <w:p w14:paraId="69F62A99" w14:textId="77777777" w:rsidR="00E71B1A" w:rsidRDefault="00E71B1A" w:rsidP="002365CD">
      <w:pPr>
        <w:pStyle w:val="Heading1"/>
      </w:pPr>
      <w:r w:rsidRPr="00E71B1A">
        <w:lastRenderedPageBreak/>
        <w:t>Conclusions</w:t>
      </w:r>
    </w:p>
    <w:p w14:paraId="69F62A9A" w14:textId="77777777" w:rsidR="006705A4" w:rsidRDefault="00B023EC" w:rsidP="00B023EC">
      <w:r>
        <w:t>This paper examines the equity impacts of the implementation of service planning guidelines based on equal spatial coverage using Sydney as a case study. Modern planning guidelines appear to be introducing more flexibility than their predecessors in that whilst there is a preponderance of expectation that there should be equal coverage of service provision for citizens, this is increasingly tempered by the need to take account of demand.</w:t>
      </w:r>
      <w:r w:rsidR="00181C01">
        <w:t xml:space="preserve"> </w:t>
      </w:r>
    </w:p>
    <w:p w14:paraId="69F62A9B" w14:textId="0D28BFB4" w:rsidR="00B023EC" w:rsidRDefault="00DE4D76" w:rsidP="00B023EC">
      <w:r>
        <w:t>These newer guidelines do appear</w:t>
      </w:r>
      <w:r w:rsidR="00961CBB">
        <w:t xml:space="preserve">  to recognise the way in which equal coverage is not necessarily equitable. However, in the case of Sydney, the modelling shows that the relaxation of the equal coverage mantra appears to be relatively small with emphasis towards demand in the peak and emphasis towards coverage in the off-peak. This is consistent with Ho and Mulley (</w:t>
      </w:r>
      <w:r w:rsidR="00AF2F72">
        <w:t>2014</w:t>
      </w:r>
      <w:r w:rsidR="00961CBB">
        <w:t>) which identified the contribution of new services in the Sydney network to linking regional centres and ‘arms’ of the radial heavy rail n</w:t>
      </w:r>
      <w:r w:rsidR="00AF2F72">
        <w:t xml:space="preserve">etwork. In the future, when the network proposed in Sydney’s </w:t>
      </w:r>
      <w:r w:rsidR="00961CBB">
        <w:t>Bus Future</w:t>
      </w:r>
      <w:r w:rsidR="00AF2F72">
        <w:t xml:space="preserve"> plan</w:t>
      </w:r>
      <w:r w:rsidR="00961CBB">
        <w:t xml:space="preserve"> (</w:t>
      </w:r>
      <w:r w:rsidR="00AF2F72">
        <w:t>NSW Government 2013</w:t>
      </w:r>
      <w:r w:rsidR="00961CBB">
        <w:t>) is introduced, there may well be more emphasis placed on allowing patronage to drive the supply of services.</w:t>
      </w:r>
    </w:p>
    <w:p w14:paraId="69F62A9C" w14:textId="6F4F0F6A" w:rsidR="00961CBB" w:rsidRDefault="00961CBB" w:rsidP="00B023EC">
      <w:r>
        <w:t xml:space="preserve">PTALs, as a measure of supply, have been shown to be </w:t>
      </w:r>
      <w:r w:rsidR="001C0B7D">
        <w:t xml:space="preserve">simple, </w:t>
      </w:r>
      <w:r>
        <w:t>consistent and effective</w:t>
      </w:r>
      <w:r w:rsidR="001C0B7D">
        <w:t xml:space="preserve"> even if the sophistications of different valuations of a passenger journey are not included.</w:t>
      </w:r>
      <w:r w:rsidR="00181C01">
        <w:t xml:space="preserve"> </w:t>
      </w:r>
      <w:r>
        <w:t>Whilst there is some criticism in the literature as to their use, their simplicity has allowed a good comparison to be made in the case study of Sydney.</w:t>
      </w:r>
      <w:r w:rsidR="00181C01">
        <w:t xml:space="preserve"> </w:t>
      </w:r>
      <w:r>
        <w:t>In the future, because PTAL is an internationally recognised measure, this study could be extended to compare Sydney with other global cities.</w:t>
      </w:r>
      <w:r w:rsidR="001C0B7D">
        <w:t xml:space="preserve"> </w:t>
      </w:r>
    </w:p>
    <w:p w14:paraId="69F62A9D" w14:textId="5E487448" w:rsidR="00FC7A98" w:rsidRDefault="00961CBB" w:rsidP="00FC7A98">
      <w:r>
        <w:t>In terms of results, a comparison of PTALs with measures of low-income, indigenous and older populations showed some mis-match, especially by head of population measures.</w:t>
      </w:r>
      <w:r w:rsidR="00181C01">
        <w:t xml:space="preserve"> </w:t>
      </w:r>
      <w:r>
        <w:t>However, the maps of this paper are univariate in measurement and, as the modelling shows and experience notes, network planning is more complicated than this</w:t>
      </w:r>
      <w:r w:rsidR="00FC7A98">
        <w:t>. The modelling results, even using a simple framework, shows that the commuter is doing well in Sydney, as a result of the more integrated planning framework. This suggests a movement towards more vertical equity is possible.</w:t>
      </w:r>
    </w:p>
    <w:p w14:paraId="69F62A9E" w14:textId="77777777" w:rsidR="007F4EA3" w:rsidRDefault="007F4EA3" w:rsidP="0071466A">
      <w:r>
        <w:t>Disadvantaged people are more likely to be captured passengers on public transport. Although income for the state is progressively raised, the equity analysis here suggests that greater public transport subsidies are going to areas of higher socio-economic means than areas of greater need. The evidence from Sydney suggests that network planning guidelines that attempt to spread public transport provision across an urban area have a tendency to undersupply both areas of concentrated need and areas of concentrated demand.</w:t>
      </w:r>
    </w:p>
    <w:p w14:paraId="69F62A9F" w14:textId="746CAD0C" w:rsidR="007E7B93" w:rsidRDefault="007E7B93" w:rsidP="0071466A">
      <w:r>
        <w:t xml:space="preserve">In the future, some better variable definitions </w:t>
      </w:r>
      <w:r w:rsidR="006705A4">
        <w:t xml:space="preserve">e.g. </w:t>
      </w:r>
      <w:r>
        <w:t>replacing elevation by slope might inform more about the impact of topography on supply and also separate out the issues of being close to the coast from changes in elevation.</w:t>
      </w:r>
      <w:r w:rsidR="006705A4">
        <w:t xml:space="preserve"> </w:t>
      </w:r>
      <w:r>
        <w:t>Looking at more than one peak and off-peak hour period might also reveal variation not observed by only comparing two one hour periods.</w:t>
      </w:r>
      <w:r w:rsidR="00B73B8E">
        <w:t xml:space="preserve"> Including patronage data at the mesh block level, which is becoming available through the Opal smart card, would allow realised demand to be modelled and this could take account of the simultaneity of demand and supply.</w:t>
      </w:r>
      <w:r w:rsidR="00DE4D76">
        <w:t xml:space="preserve"> In addition, the use of spatial regression techniques would identify if spatial dependency is a problem and, if spatial </w:t>
      </w:r>
      <w:r w:rsidR="00DE4D76">
        <w:lastRenderedPageBreak/>
        <w:t>dependency is present, would be an improvement over the multivariate analysis used in this paper.</w:t>
      </w:r>
    </w:p>
    <w:p w14:paraId="69F62AA0" w14:textId="77777777" w:rsidR="00B023EC" w:rsidRDefault="0071466A" w:rsidP="0071466A">
      <w:r>
        <w:t>These</w:t>
      </w:r>
      <w:r w:rsidR="00B023EC">
        <w:t xml:space="preserve"> conclusions </w:t>
      </w:r>
      <w:r>
        <w:t>a</w:t>
      </w:r>
      <w:r w:rsidR="00B023EC">
        <w:t>re a contribution to network planning implementation with many cities both in Australia and elsewhere implementing similar guidelines to Sydney.</w:t>
      </w:r>
    </w:p>
    <w:p w14:paraId="69F62AA1" w14:textId="77777777" w:rsidR="00A20EB6" w:rsidRDefault="00A20EB6" w:rsidP="002365CD">
      <w:pPr>
        <w:pStyle w:val="Heading1"/>
      </w:pPr>
      <w:r>
        <w:t>References</w:t>
      </w:r>
    </w:p>
    <w:p w14:paraId="69F62AA2" w14:textId="77777777" w:rsidR="00DD4716" w:rsidRDefault="00DD4716" w:rsidP="00181C01">
      <w:pPr>
        <w:autoSpaceDE w:val="0"/>
        <w:autoSpaceDN w:val="0"/>
        <w:adjustRightInd w:val="0"/>
        <w:spacing w:after="120" w:line="240" w:lineRule="auto"/>
        <w:rPr>
          <w:rFonts w:cs="Arial"/>
        </w:rPr>
      </w:pPr>
      <w:r>
        <w:rPr>
          <w:rFonts w:cs="Arial"/>
        </w:rPr>
        <w:t xml:space="preserve">Abrantes, P.A.L. and Wardman, M.R. 2011, ‘Meta-analysis of UK values of travel time: An update’, </w:t>
      </w:r>
      <w:r>
        <w:rPr>
          <w:rFonts w:cs="Arial"/>
          <w:i/>
        </w:rPr>
        <w:t>Transportation Research Part A</w:t>
      </w:r>
      <w:r>
        <w:rPr>
          <w:rFonts w:cs="Arial"/>
        </w:rPr>
        <w:t>, vol. 45, no. 1, pp. 1-17.</w:t>
      </w:r>
    </w:p>
    <w:p w14:paraId="69F62AA3" w14:textId="77777777" w:rsidR="00DD4716" w:rsidRDefault="00DD4716" w:rsidP="00181C01">
      <w:pPr>
        <w:autoSpaceDE w:val="0"/>
        <w:autoSpaceDN w:val="0"/>
        <w:adjustRightInd w:val="0"/>
        <w:spacing w:after="120" w:line="240" w:lineRule="auto"/>
        <w:rPr>
          <w:rFonts w:cs="Arial"/>
        </w:rPr>
      </w:pPr>
      <w:r>
        <w:rPr>
          <w:rFonts w:cs="Arial"/>
        </w:rPr>
        <w:t xml:space="preserve">ACT Government 2012, </w:t>
      </w:r>
      <w:r>
        <w:rPr>
          <w:rFonts w:cs="Arial"/>
          <w:i/>
        </w:rPr>
        <w:t>Transport for Canberra: Transport for a sustainable city</w:t>
      </w:r>
      <w:r>
        <w:rPr>
          <w:rFonts w:cs="Arial"/>
        </w:rPr>
        <w:t xml:space="preserve"> </w:t>
      </w:r>
      <w:r>
        <w:rPr>
          <w:rFonts w:cs="Arial"/>
          <w:i/>
        </w:rPr>
        <w:t>2012-2031</w:t>
      </w:r>
      <w:r>
        <w:rPr>
          <w:rFonts w:cs="Arial"/>
        </w:rPr>
        <w:t>, ACT Government Environment and Sustainable Development Directorate.</w:t>
      </w:r>
    </w:p>
    <w:p w14:paraId="69F62AA4" w14:textId="77777777" w:rsidR="00DD4716" w:rsidRDefault="00DD4716" w:rsidP="00181C01">
      <w:pPr>
        <w:spacing w:after="120"/>
        <w:rPr>
          <w:lang w:val="en-US"/>
        </w:rPr>
      </w:pPr>
      <w:r>
        <w:rPr>
          <w:lang w:val="en-US"/>
        </w:rPr>
        <w:t>Australian Bureau of Statistics 2011a</w:t>
      </w:r>
      <w:r w:rsidRPr="00DD4716">
        <w:rPr>
          <w:i/>
          <w:lang w:val="en-US"/>
        </w:rPr>
        <w:t xml:space="preserve"> </w:t>
      </w:r>
      <w:r w:rsidRPr="008C0E6A">
        <w:rPr>
          <w:i/>
          <w:lang w:val="en-US"/>
        </w:rPr>
        <w:t xml:space="preserve">Australian Statistical Geography Standard (ASGS): Volume </w:t>
      </w:r>
      <w:r>
        <w:rPr>
          <w:i/>
          <w:lang w:val="en-US"/>
        </w:rPr>
        <w:t>1 –</w:t>
      </w:r>
      <w:r w:rsidRPr="008C0E6A">
        <w:rPr>
          <w:i/>
          <w:lang w:val="en-US"/>
        </w:rPr>
        <w:t xml:space="preserve"> </w:t>
      </w:r>
      <w:r>
        <w:rPr>
          <w:i/>
          <w:lang w:val="en-US"/>
        </w:rPr>
        <w:t>Main structure and greater capital city statistical areas, July 2011</w:t>
      </w:r>
      <w:r>
        <w:rPr>
          <w:lang w:val="en-US"/>
        </w:rPr>
        <w:t xml:space="preserve">, catalogue no. </w:t>
      </w:r>
      <w:r w:rsidRPr="008C0E6A">
        <w:rPr>
          <w:lang w:val="en-US"/>
        </w:rPr>
        <w:t>1270.0.55.00</w:t>
      </w:r>
      <w:r>
        <w:rPr>
          <w:lang w:val="en-US"/>
        </w:rPr>
        <w:t>1, ABS, Canberra</w:t>
      </w:r>
    </w:p>
    <w:p w14:paraId="69F62AA5" w14:textId="77777777" w:rsidR="00DD4716" w:rsidRDefault="00DD4716" w:rsidP="008C0E6A">
      <w:pPr>
        <w:spacing w:after="120"/>
        <w:rPr>
          <w:lang w:val="en-US"/>
        </w:rPr>
      </w:pPr>
      <w:r>
        <w:rPr>
          <w:lang w:val="en-US"/>
        </w:rPr>
        <w:t xml:space="preserve">Australian Bureau of Statistics 2011b, </w:t>
      </w:r>
      <w:r w:rsidRPr="008C0E6A">
        <w:rPr>
          <w:i/>
          <w:lang w:val="en-US"/>
        </w:rPr>
        <w:t>Australian Statistical Geography Standard (ASGS): Volume 4 – Significant Urban Areas</w:t>
      </w:r>
      <w:r w:rsidRPr="00DD4716">
        <w:rPr>
          <w:i/>
          <w:lang w:val="en-US"/>
        </w:rPr>
        <w:t>,</w:t>
      </w:r>
      <w:r>
        <w:rPr>
          <w:lang w:val="en-US"/>
        </w:rPr>
        <w:t xml:space="preserve"> </w:t>
      </w:r>
      <w:r w:rsidRPr="00DD4716">
        <w:rPr>
          <w:i/>
          <w:lang w:val="en-US"/>
        </w:rPr>
        <w:t>Urban Centres and Localities, Section of State, July 2011</w:t>
      </w:r>
      <w:r>
        <w:rPr>
          <w:lang w:val="en-US"/>
        </w:rPr>
        <w:t xml:space="preserve">, catalogue no. </w:t>
      </w:r>
      <w:r w:rsidRPr="008C0E6A">
        <w:rPr>
          <w:lang w:val="en-US"/>
        </w:rPr>
        <w:t>1270.0.55.004</w:t>
      </w:r>
      <w:r>
        <w:rPr>
          <w:lang w:val="en-US"/>
        </w:rPr>
        <w:t>, ABS, Canberra.</w:t>
      </w:r>
    </w:p>
    <w:p w14:paraId="69F62AA6" w14:textId="77777777" w:rsidR="00DD4716" w:rsidRDefault="00DD4716" w:rsidP="00181C01">
      <w:pPr>
        <w:autoSpaceDE w:val="0"/>
        <w:autoSpaceDN w:val="0"/>
        <w:adjustRightInd w:val="0"/>
        <w:spacing w:after="120" w:line="240" w:lineRule="auto"/>
        <w:rPr>
          <w:rFonts w:cs="Arial"/>
        </w:rPr>
      </w:pPr>
      <w:r>
        <w:rPr>
          <w:rFonts w:cs="Arial"/>
        </w:rPr>
        <w:t xml:space="preserve">Daniels, R. and Mulley, C. 2012, ‘Planning public transport networks – The neglected influence of topography’, </w:t>
      </w:r>
      <w:r w:rsidRPr="00181C01">
        <w:rPr>
          <w:rFonts w:cs="Arial"/>
          <w:i/>
        </w:rPr>
        <w:t>Journal of Public Transportation</w:t>
      </w:r>
      <w:r>
        <w:rPr>
          <w:rFonts w:cs="Arial"/>
        </w:rPr>
        <w:t>, vol. 1, no.4, pp. 23-41.</w:t>
      </w:r>
    </w:p>
    <w:p w14:paraId="69F62AA7" w14:textId="77777777" w:rsidR="00DD4716" w:rsidRDefault="00DD4716" w:rsidP="0084520A">
      <w:pPr>
        <w:autoSpaceDE w:val="0"/>
        <w:autoSpaceDN w:val="0"/>
        <w:adjustRightInd w:val="0"/>
        <w:spacing w:after="120" w:line="240" w:lineRule="auto"/>
        <w:rPr>
          <w:rFonts w:cs="Arial"/>
        </w:rPr>
      </w:pPr>
      <w:r>
        <w:rPr>
          <w:rFonts w:cs="Arial"/>
        </w:rPr>
        <w:t xml:space="preserve">De Scitovszky, T. 1941, ‘A note on welfare propositions in economics’, </w:t>
      </w:r>
      <w:r>
        <w:rPr>
          <w:rFonts w:cs="Arial"/>
          <w:i/>
        </w:rPr>
        <w:t>The Review of Economic Studies</w:t>
      </w:r>
      <w:r>
        <w:rPr>
          <w:rFonts w:cs="Arial"/>
        </w:rPr>
        <w:t>, vol. 9, no. 1, pp. 77-88.</w:t>
      </w:r>
    </w:p>
    <w:p w14:paraId="69F62AA8" w14:textId="77777777" w:rsidR="00DD4716" w:rsidRPr="001E76A9" w:rsidRDefault="00DD4716" w:rsidP="00181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eastAsia="Times New Roman" w:cs="Arial"/>
        </w:rPr>
      </w:pPr>
      <w:r w:rsidRPr="001E76A9">
        <w:rPr>
          <w:rFonts w:eastAsia="Times New Roman" w:cs="Arial"/>
        </w:rPr>
        <w:t>Delbosc,</w:t>
      </w:r>
      <w:r>
        <w:rPr>
          <w:rFonts w:eastAsia="Times New Roman" w:cs="Arial"/>
        </w:rPr>
        <w:t xml:space="preserve"> A. and Currie,</w:t>
      </w:r>
      <w:r w:rsidR="006705A4">
        <w:rPr>
          <w:rFonts w:eastAsia="Times New Roman" w:cs="Arial"/>
        </w:rPr>
        <w:t xml:space="preserve"> </w:t>
      </w:r>
      <w:r>
        <w:rPr>
          <w:rFonts w:eastAsia="Times New Roman" w:cs="Arial"/>
        </w:rPr>
        <w:t xml:space="preserve">G. </w:t>
      </w:r>
      <w:r w:rsidRPr="001E76A9">
        <w:rPr>
          <w:rFonts w:eastAsia="Times New Roman" w:cs="Arial"/>
        </w:rPr>
        <w:t>2011</w:t>
      </w:r>
      <w:r>
        <w:rPr>
          <w:rFonts w:eastAsia="Times New Roman" w:cs="Arial"/>
        </w:rPr>
        <w:t>,</w:t>
      </w:r>
      <w:r w:rsidRPr="001E76A9">
        <w:rPr>
          <w:rFonts w:eastAsia="Times New Roman" w:cs="Arial"/>
        </w:rPr>
        <w:t xml:space="preserve"> </w:t>
      </w:r>
      <w:r>
        <w:rPr>
          <w:rFonts w:eastAsia="Times New Roman" w:cs="Arial"/>
        </w:rPr>
        <w:t>‘</w:t>
      </w:r>
      <w:r w:rsidRPr="001E76A9">
        <w:rPr>
          <w:rFonts w:eastAsia="Times New Roman" w:cs="Arial"/>
        </w:rPr>
        <w:t>Using Lorenz curves to assess public transport equity</w:t>
      </w:r>
      <w:r>
        <w:rPr>
          <w:rFonts w:eastAsia="Times New Roman" w:cs="Arial"/>
        </w:rPr>
        <w:t>’</w:t>
      </w:r>
      <w:r w:rsidRPr="001E76A9">
        <w:rPr>
          <w:rFonts w:eastAsia="Times New Roman" w:cs="Arial"/>
        </w:rPr>
        <w:t xml:space="preserve">, </w:t>
      </w:r>
      <w:r w:rsidRPr="001E76A9">
        <w:rPr>
          <w:rFonts w:eastAsia="Times New Roman" w:cs="Arial"/>
          <w:i/>
        </w:rPr>
        <w:t>Journal of Transport Geography</w:t>
      </w:r>
      <w:r w:rsidRPr="001E76A9">
        <w:rPr>
          <w:rFonts w:eastAsia="Times New Roman" w:cs="Arial"/>
        </w:rPr>
        <w:t xml:space="preserve">, </w:t>
      </w:r>
      <w:r>
        <w:rPr>
          <w:rFonts w:eastAsia="Times New Roman" w:cs="Arial"/>
        </w:rPr>
        <w:t xml:space="preserve">vol. </w:t>
      </w:r>
      <w:r w:rsidRPr="001E76A9">
        <w:rPr>
          <w:rFonts w:eastAsia="Times New Roman" w:cs="Arial"/>
        </w:rPr>
        <w:t>19</w:t>
      </w:r>
      <w:r>
        <w:rPr>
          <w:rFonts w:eastAsia="Times New Roman" w:cs="Arial"/>
        </w:rPr>
        <w:t xml:space="preserve">, no. </w:t>
      </w:r>
      <w:r w:rsidRPr="001E76A9">
        <w:rPr>
          <w:rFonts w:eastAsia="Times New Roman" w:cs="Arial"/>
        </w:rPr>
        <w:t>6,</w:t>
      </w:r>
      <w:r>
        <w:rPr>
          <w:rFonts w:eastAsia="Times New Roman" w:cs="Arial"/>
        </w:rPr>
        <w:t xml:space="preserve"> pp. 1252-1259.</w:t>
      </w:r>
    </w:p>
    <w:p w14:paraId="69F62AA9" w14:textId="77777777" w:rsidR="00DD4716" w:rsidRPr="001E76A9" w:rsidRDefault="00DD4716" w:rsidP="00181C01">
      <w:pPr>
        <w:autoSpaceDE w:val="0"/>
        <w:autoSpaceDN w:val="0"/>
        <w:adjustRightInd w:val="0"/>
        <w:spacing w:after="120" w:line="240" w:lineRule="auto"/>
        <w:rPr>
          <w:rFonts w:cs="Arial"/>
        </w:rPr>
      </w:pPr>
      <w:r w:rsidRPr="001E76A9">
        <w:rPr>
          <w:rFonts w:cs="Arial"/>
        </w:rPr>
        <w:t>Eriksson, L., Garvill, J. and Nordlund, A.M. 2008</w:t>
      </w:r>
      <w:r>
        <w:rPr>
          <w:rFonts w:cs="Arial"/>
        </w:rPr>
        <w:t>,</w:t>
      </w:r>
      <w:r w:rsidRPr="001E76A9">
        <w:rPr>
          <w:rFonts w:cs="Arial"/>
        </w:rPr>
        <w:t xml:space="preserve"> </w:t>
      </w:r>
      <w:r>
        <w:rPr>
          <w:rFonts w:cs="Arial"/>
        </w:rPr>
        <w:t>‘</w:t>
      </w:r>
      <w:r w:rsidRPr="001E76A9">
        <w:rPr>
          <w:rFonts w:cs="Arial"/>
        </w:rPr>
        <w:t>Acceptability of single and combined transport policy measures:</w:t>
      </w:r>
      <w:r>
        <w:rPr>
          <w:rFonts w:cs="Arial"/>
        </w:rPr>
        <w:t xml:space="preserve"> </w:t>
      </w:r>
      <w:r w:rsidRPr="001E76A9">
        <w:rPr>
          <w:rFonts w:cs="Arial"/>
        </w:rPr>
        <w:t xml:space="preserve">The importance of environmental and policy specific beliefs, </w:t>
      </w:r>
      <w:r w:rsidRPr="001E76A9">
        <w:rPr>
          <w:rFonts w:cs="Arial"/>
          <w:i/>
        </w:rPr>
        <w:t>Transportation Research A</w:t>
      </w:r>
      <w:r w:rsidRPr="00DD4716">
        <w:rPr>
          <w:rFonts w:cs="Arial"/>
        </w:rPr>
        <w:t xml:space="preserve">, vol. </w:t>
      </w:r>
      <w:r w:rsidRPr="001E76A9">
        <w:rPr>
          <w:rFonts w:cs="Arial"/>
        </w:rPr>
        <w:t xml:space="preserve">42, </w:t>
      </w:r>
      <w:r>
        <w:rPr>
          <w:rFonts w:cs="Arial"/>
        </w:rPr>
        <w:t xml:space="preserve">pp. </w:t>
      </w:r>
      <w:r w:rsidRPr="001E76A9">
        <w:rPr>
          <w:rFonts w:cs="Arial"/>
        </w:rPr>
        <w:t>1117–1128</w:t>
      </w:r>
      <w:r>
        <w:rPr>
          <w:rFonts w:cs="Arial"/>
        </w:rPr>
        <w:t>.</w:t>
      </w:r>
    </w:p>
    <w:p w14:paraId="69F62AAA" w14:textId="77777777" w:rsidR="00DD4716" w:rsidRDefault="00DD4716" w:rsidP="00181C01">
      <w:pPr>
        <w:autoSpaceDE w:val="0"/>
        <w:autoSpaceDN w:val="0"/>
        <w:adjustRightInd w:val="0"/>
        <w:spacing w:after="120" w:line="240" w:lineRule="auto"/>
        <w:rPr>
          <w:rFonts w:cs="Arial"/>
        </w:rPr>
      </w:pPr>
      <w:r>
        <w:rPr>
          <w:rFonts w:cs="Arial"/>
        </w:rPr>
        <w:t xml:space="preserve">Hensher, D. and Macario, R. </w:t>
      </w:r>
      <w:r w:rsidRPr="00786012">
        <w:rPr>
          <w:rFonts w:cs="Arial"/>
        </w:rPr>
        <w:t>2002</w:t>
      </w:r>
      <w:r>
        <w:rPr>
          <w:rFonts w:cs="Arial"/>
        </w:rPr>
        <w:t>,</w:t>
      </w:r>
      <w:r w:rsidRPr="00786012">
        <w:rPr>
          <w:rFonts w:cs="Arial"/>
        </w:rPr>
        <w:t xml:space="preserve"> </w:t>
      </w:r>
      <w:r>
        <w:rPr>
          <w:rFonts w:cs="Arial"/>
        </w:rPr>
        <w:t>‘</w:t>
      </w:r>
      <w:r w:rsidRPr="00786012">
        <w:rPr>
          <w:rFonts w:cs="Arial"/>
        </w:rPr>
        <w:t>Organisation and ownership of public transport services</w:t>
      </w:r>
      <w:r>
        <w:rPr>
          <w:rFonts w:cs="Arial"/>
        </w:rPr>
        <w:t>’</w:t>
      </w:r>
      <w:r w:rsidRPr="00786012">
        <w:rPr>
          <w:rFonts w:cs="Arial"/>
        </w:rPr>
        <w:t xml:space="preserve">, </w:t>
      </w:r>
      <w:r w:rsidRPr="00181C01">
        <w:rPr>
          <w:rFonts w:cs="Arial"/>
          <w:i/>
        </w:rPr>
        <w:t>Transport Reviews</w:t>
      </w:r>
      <w:r>
        <w:rPr>
          <w:rFonts w:cs="Arial"/>
        </w:rPr>
        <w:t>, vol. 22, no. 3, p. 350-357.</w:t>
      </w:r>
    </w:p>
    <w:p w14:paraId="69F62AAB" w14:textId="77777777" w:rsidR="00DD4716" w:rsidRPr="00997681" w:rsidRDefault="00DD4716" w:rsidP="0084520A">
      <w:pPr>
        <w:autoSpaceDE w:val="0"/>
        <w:autoSpaceDN w:val="0"/>
        <w:adjustRightInd w:val="0"/>
        <w:spacing w:after="120" w:line="240" w:lineRule="auto"/>
        <w:rPr>
          <w:rFonts w:cs="Arial"/>
        </w:rPr>
      </w:pPr>
      <w:r w:rsidRPr="00AF2F72">
        <w:rPr>
          <w:rFonts w:cs="Arial"/>
        </w:rPr>
        <w:t>Ho</w:t>
      </w:r>
      <w:r>
        <w:rPr>
          <w:rFonts w:cs="Arial"/>
        </w:rPr>
        <w:t>,</w:t>
      </w:r>
      <w:r w:rsidRPr="00AF2F72">
        <w:rPr>
          <w:rFonts w:cs="Arial"/>
        </w:rPr>
        <w:t xml:space="preserve"> C</w:t>
      </w:r>
      <w:r>
        <w:rPr>
          <w:rFonts w:cs="Arial"/>
        </w:rPr>
        <w:t>.</w:t>
      </w:r>
      <w:r w:rsidRPr="00AF2F72">
        <w:rPr>
          <w:rFonts w:cs="Arial"/>
        </w:rPr>
        <w:t xml:space="preserve"> and Mulley</w:t>
      </w:r>
      <w:r>
        <w:rPr>
          <w:rFonts w:cs="Arial"/>
        </w:rPr>
        <w:t>,</w:t>
      </w:r>
      <w:r w:rsidRPr="00AF2F72">
        <w:rPr>
          <w:rFonts w:cs="Arial"/>
        </w:rPr>
        <w:t xml:space="preserve"> C</w:t>
      </w:r>
      <w:r>
        <w:rPr>
          <w:rFonts w:cs="Arial"/>
        </w:rPr>
        <w:t>.</w:t>
      </w:r>
      <w:r w:rsidRPr="00AF2F72">
        <w:rPr>
          <w:rFonts w:cs="Arial"/>
        </w:rPr>
        <w:t xml:space="preserve"> 2014 'Metrobuses in Sydney: How high capacity and high frequency services are benefiting the Metropolitan fringe'</w:t>
      </w:r>
      <w:r w:rsidRPr="00AF2F72">
        <w:rPr>
          <w:rFonts w:cs="Arial"/>
          <w:i/>
        </w:rPr>
        <w:t>, Research in Transportation Economics</w:t>
      </w:r>
      <w:r w:rsidRPr="00AF2F72">
        <w:rPr>
          <w:rFonts w:cs="Arial"/>
        </w:rPr>
        <w:t>, vol.48, pp. 339-</w:t>
      </w:r>
      <w:r>
        <w:rPr>
          <w:rFonts w:cs="Arial"/>
        </w:rPr>
        <w:t>3</w:t>
      </w:r>
      <w:r w:rsidRPr="00AF2F72">
        <w:rPr>
          <w:rFonts w:cs="Arial"/>
        </w:rPr>
        <w:t>4</w:t>
      </w:r>
      <w:r>
        <w:rPr>
          <w:rFonts w:cs="Arial"/>
        </w:rPr>
        <w:t>8.</w:t>
      </w:r>
    </w:p>
    <w:p w14:paraId="69F62AAC" w14:textId="77777777" w:rsidR="00DD4716" w:rsidRDefault="00DD4716" w:rsidP="00181C01">
      <w:pPr>
        <w:autoSpaceDE w:val="0"/>
        <w:autoSpaceDN w:val="0"/>
        <w:adjustRightInd w:val="0"/>
        <w:spacing w:after="120" w:line="240" w:lineRule="auto"/>
        <w:rPr>
          <w:rFonts w:cs="Arial"/>
        </w:rPr>
      </w:pPr>
      <w:r w:rsidRPr="006E654C">
        <w:rPr>
          <w:rFonts w:cs="Arial"/>
        </w:rPr>
        <w:t>Jansson, J. O. 2003</w:t>
      </w:r>
      <w:r>
        <w:rPr>
          <w:rFonts w:cs="Arial"/>
        </w:rPr>
        <w:t>,</w:t>
      </w:r>
      <w:r w:rsidRPr="006E654C">
        <w:rPr>
          <w:rFonts w:cs="Arial"/>
        </w:rPr>
        <w:t xml:space="preserve"> </w:t>
      </w:r>
      <w:r>
        <w:rPr>
          <w:rFonts w:cs="Arial"/>
        </w:rPr>
        <w:t>‘</w:t>
      </w:r>
      <w:r w:rsidRPr="006E654C">
        <w:rPr>
          <w:rFonts w:cs="Arial"/>
        </w:rPr>
        <w:t>Key factors for boosting the bus transport market in medium-size towns</w:t>
      </w:r>
      <w:r>
        <w:rPr>
          <w:rFonts w:cs="Arial"/>
        </w:rPr>
        <w:t>’,</w:t>
      </w:r>
      <w:r w:rsidRPr="006E654C">
        <w:rPr>
          <w:rFonts w:cs="Arial"/>
        </w:rPr>
        <w:t xml:space="preserve"> </w:t>
      </w:r>
      <w:r>
        <w:rPr>
          <w:rFonts w:cs="Arial"/>
        </w:rPr>
        <w:t xml:space="preserve">8th Conference on </w:t>
      </w:r>
      <w:r w:rsidRPr="006E654C">
        <w:rPr>
          <w:rFonts w:cs="Arial"/>
        </w:rPr>
        <w:t xml:space="preserve">Competition and Ownership in Land Passenger Transport </w:t>
      </w:r>
      <w:r>
        <w:rPr>
          <w:rFonts w:cs="Arial"/>
        </w:rPr>
        <w:t>(Thredbo Series), Rio de Janeiro, Brazil.</w:t>
      </w:r>
    </w:p>
    <w:p w14:paraId="3AA20C88" w14:textId="02FF94B6" w:rsidR="00AE7997" w:rsidRDefault="00AE7997" w:rsidP="00AE7997">
      <w:pPr>
        <w:autoSpaceDE w:val="0"/>
        <w:autoSpaceDN w:val="0"/>
        <w:adjustRightInd w:val="0"/>
        <w:spacing w:after="120" w:line="240" w:lineRule="auto"/>
        <w:rPr>
          <w:rFonts w:cs="Arial"/>
        </w:rPr>
      </w:pPr>
      <w:r w:rsidRPr="008B7C75">
        <w:rPr>
          <w:rFonts w:cs="Arial"/>
        </w:rPr>
        <w:t>Lagura, E., Norman, P., Richmond, M., &amp; Watling, R. 2011 The Public Transport Usage of Two Melbournes. Conference paper delivered at the 34th Australasian Transport Research Forum (ATRF) Proceedings in Adelaide</w:t>
      </w:r>
      <w:r>
        <w:rPr>
          <w:rFonts w:cs="Arial"/>
        </w:rPr>
        <w:t>,</w:t>
      </w:r>
      <w:r w:rsidRPr="008B7C75">
        <w:rPr>
          <w:rFonts w:cs="Arial"/>
        </w:rPr>
        <w:t>,Australia.</w:t>
      </w:r>
      <w:r w:rsidRPr="00AE7997">
        <w:rPr>
          <w:rFonts w:cs="Arial"/>
        </w:rPr>
        <w:t xml:space="preserve"> </w:t>
      </w:r>
      <w:r>
        <w:rPr>
          <w:rFonts w:cs="Arial"/>
        </w:rPr>
        <w:t>.</w:t>
      </w:r>
    </w:p>
    <w:p w14:paraId="69F62AAD" w14:textId="77777777" w:rsidR="00DD4716" w:rsidRDefault="00DD4716" w:rsidP="00AE7997">
      <w:pPr>
        <w:autoSpaceDE w:val="0"/>
        <w:autoSpaceDN w:val="0"/>
        <w:adjustRightInd w:val="0"/>
        <w:spacing w:after="0" w:line="240" w:lineRule="auto"/>
        <w:rPr>
          <w:rFonts w:cs="Arial"/>
        </w:rPr>
      </w:pPr>
      <w:r>
        <w:rPr>
          <w:rFonts w:cs="Arial"/>
        </w:rPr>
        <w:t xml:space="preserve">Kamruzzaman, M., Baker, D., Washington, S. and Turrell, G. 2014, ‘Advance transit oriented development typology: Case study in Brisbane, Australia’, </w:t>
      </w:r>
      <w:r>
        <w:rPr>
          <w:rFonts w:cs="Arial"/>
          <w:i/>
        </w:rPr>
        <w:t>Journal of Transport Geography</w:t>
      </w:r>
      <w:r>
        <w:rPr>
          <w:rFonts w:cs="Arial"/>
        </w:rPr>
        <w:t>, vol. 34, pp. 54-70.</w:t>
      </w:r>
    </w:p>
    <w:p w14:paraId="69F62AAE" w14:textId="77777777" w:rsidR="00DD4716" w:rsidRDefault="00DD4716" w:rsidP="00181C01">
      <w:pPr>
        <w:autoSpaceDE w:val="0"/>
        <w:autoSpaceDN w:val="0"/>
        <w:adjustRightInd w:val="0"/>
        <w:spacing w:after="120" w:line="240" w:lineRule="auto"/>
        <w:rPr>
          <w:rFonts w:cs="Arial"/>
        </w:rPr>
      </w:pPr>
      <w:r w:rsidRPr="006E654C">
        <w:rPr>
          <w:rFonts w:cs="Arial"/>
        </w:rPr>
        <w:t>Ljungberg, A. 2005</w:t>
      </w:r>
      <w:r>
        <w:rPr>
          <w:rFonts w:cs="Arial"/>
        </w:rPr>
        <w:t>,</w:t>
      </w:r>
      <w:r w:rsidRPr="006E654C">
        <w:rPr>
          <w:rFonts w:cs="Arial"/>
        </w:rPr>
        <w:t xml:space="preserve"> </w:t>
      </w:r>
      <w:r>
        <w:rPr>
          <w:rFonts w:cs="Arial"/>
        </w:rPr>
        <w:t>‘</w:t>
      </w:r>
      <w:r w:rsidRPr="006E654C">
        <w:rPr>
          <w:rFonts w:cs="Arial"/>
        </w:rPr>
        <w:t>Using Geographic Information System (GIS) doing CBA on new bus route systems—An empirical example of the city of Linkoping</w:t>
      </w:r>
      <w:r>
        <w:rPr>
          <w:rFonts w:cs="Arial"/>
        </w:rPr>
        <w:t>’,</w:t>
      </w:r>
      <w:r w:rsidRPr="006E654C">
        <w:rPr>
          <w:rFonts w:cs="Arial"/>
        </w:rPr>
        <w:t xml:space="preserve"> 9th Conference on Competition and Ownership in Land Transport</w:t>
      </w:r>
      <w:r>
        <w:rPr>
          <w:rFonts w:cs="Arial"/>
        </w:rPr>
        <w:t xml:space="preserve"> (Thredbo Series)</w:t>
      </w:r>
      <w:r w:rsidRPr="006E654C">
        <w:rPr>
          <w:rFonts w:cs="Arial"/>
        </w:rPr>
        <w:t>, Lisbon, Portugal.</w:t>
      </w:r>
    </w:p>
    <w:p w14:paraId="69F62AAF" w14:textId="77777777" w:rsidR="00DD4716" w:rsidRPr="00AF2F72" w:rsidRDefault="00DD4716" w:rsidP="0084520A">
      <w:pPr>
        <w:autoSpaceDE w:val="0"/>
        <w:autoSpaceDN w:val="0"/>
        <w:adjustRightInd w:val="0"/>
        <w:spacing w:after="120" w:line="240" w:lineRule="auto"/>
        <w:rPr>
          <w:rFonts w:cs="Arial"/>
        </w:rPr>
      </w:pPr>
      <w:r>
        <w:rPr>
          <w:rFonts w:cs="Arial"/>
        </w:rPr>
        <w:t xml:space="preserve">New South Wales Government 2013, </w:t>
      </w:r>
      <w:r>
        <w:rPr>
          <w:rFonts w:cs="Arial"/>
          <w:i/>
        </w:rPr>
        <w:t>Sydney’s bus future: Simpler, faster, better bus services</w:t>
      </w:r>
      <w:r>
        <w:rPr>
          <w:rFonts w:cs="Arial"/>
        </w:rPr>
        <w:t>, New South Wales Government, Sydney.</w:t>
      </w:r>
    </w:p>
    <w:p w14:paraId="69F62AB0" w14:textId="77777777" w:rsidR="00DD4716" w:rsidRDefault="00DD4716" w:rsidP="00181C01">
      <w:pPr>
        <w:autoSpaceDE w:val="0"/>
        <w:autoSpaceDN w:val="0"/>
        <w:adjustRightInd w:val="0"/>
        <w:spacing w:after="120" w:line="240" w:lineRule="auto"/>
        <w:rPr>
          <w:rFonts w:cs="Arial"/>
        </w:rPr>
      </w:pPr>
      <w:r>
        <w:rPr>
          <w:rFonts w:cs="Arial"/>
        </w:rPr>
        <w:lastRenderedPageBreak/>
        <w:t>New South Wales Ministry of Transport 2006, Service planning guideline: Sydney contract regions, Ministry of Transport, Sydney.</w:t>
      </w:r>
    </w:p>
    <w:p w14:paraId="69F62AB1" w14:textId="77777777" w:rsidR="00DD4716" w:rsidRDefault="00DD4716" w:rsidP="00181C01">
      <w:pPr>
        <w:autoSpaceDE w:val="0"/>
        <w:autoSpaceDN w:val="0"/>
        <w:adjustRightInd w:val="0"/>
        <w:spacing w:after="120" w:line="240" w:lineRule="auto"/>
        <w:rPr>
          <w:rFonts w:cs="Arial"/>
        </w:rPr>
      </w:pPr>
      <w:r>
        <w:rPr>
          <w:rFonts w:cs="Arial"/>
        </w:rPr>
        <w:t xml:space="preserve">New York Metropolitan Transportation Authority 2015, </w:t>
      </w:r>
      <w:r>
        <w:rPr>
          <w:rFonts w:cs="Arial"/>
          <w:i/>
        </w:rPr>
        <w:t>What is Bus Rapid Transit (BRT)?</w:t>
      </w:r>
      <w:r>
        <w:rPr>
          <w:rFonts w:cs="Arial"/>
        </w:rPr>
        <w:t xml:space="preserve">, Metropolitan Transportation Authority, New York, viewed 29 June 2015, </w:t>
      </w:r>
      <w:hyperlink r:id="rId17" w:history="1">
        <w:r w:rsidRPr="001A5387">
          <w:rPr>
            <w:rStyle w:val="Hyperlink"/>
            <w:rFonts w:cs="Arial"/>
          </w:rPr>
          <w:t>http://web.mta.info/mta/planning/sbs/whatis.htm</w:t>
        </w:r>
      </w:hyperlink>
      <w:r>
        <w:rPr>
          <w:rFonts w:cs="Arial"/>
        </w:rPr>
        <w:t>.</w:t>
      </w:r>
    </w:p>
    <w:p w14:paraId="69F62AB2" w14:textId="77777777" w:rsidR="00DD4716" w:rsidRDefault="00DD4716" w:rsidP="00181C01">
      <w:pPr>
        <w:autoSpaceDE w:val="0"/>
        <w:autoSpaceDN w:val="0"/>
        <w:adjustRightInd w:val="0"/>
        <w:spacing w:after="120" w:line="240" w:lineRule="auto"/>
        <w:rPr>
          <w:rFonts w:cs="Arial"/>
        </w:rPr>
      </w:pPr>
      <w:r>
        <w:rPr>
          <w:rFonts w:cs="Arial"/>
        </w:rPr>
        <w:t xml:space="preserve">Nielsen, G., Nelson, J.D., Mulley, C., Tegner, G., Lind, G. and Lange, T. 2005, </w:t>
      </w:r>
      <w:r>
        <w:rPr>
          <w:rFonts w:cs="Arial"/>
          <w:i/>
        </w:rPr>
        <w:t>HiTrans best practice guide 2: Public transport – Planning the networks</w:t>
      </w:r>
      <w:r>
        <w:rPr>
          <w:rFonts w:cs="Arial"/>
        </w:rPr>
        <w:t>, HiTrans.</w:t>
      </w:r>
    </w:p>
    <w:p w14:paraId="69F62AB3" w14:textId="77777777" w:rsidR="00DD4716" w:rsidRDefault="00DD4716" w:rsidP="00181C01">
      <w:pPr>
        <w:autoSpaceDE w:val="0"/>
        <w:autoSpaceDN w:val="0"/>
        <w:adjustRightInd w:val="0"/>
        <w:spacing w:after="120" w:line="240" w:lineRule="auto"/>
        <w:rPr>
          <w:rFonts w:cs="Arial"/>
        </w:rPr>
      </w:pPr>
      <w:r w:rsidRPr="006E654C">
        <w:rPr>
          <w:rFonts w:cs="Arial"/>
        </w:rPr>
        <w:t>Paulley, N., Balcombe, R.</w:t>
      </w:r>
      <w:r>
        <w:rPr>
          <w:rFonts w:cs="Arial"/>
        </w:rPr>
        <w:t>,</w:t>
      </w:r>
      <w:r w:rsidRPr="006E654C">
        <w:rPr>
          <w:rFonts w:cs="Arial"/>
        </w:rPr>
        <w:t xml:space="preserve"> Mackett, </w:t>
      </w:r>
      <w:r>
        <w:rPr>
          <w:rFonts w:cs="Arial"/>
        </w:rPr>
        <w:t xml:space="preserve">R., </w:t>
      </w:r>
      <w:r w:rsidRPr="006E654C">
        <w:rPr>
          <w:rFonts w:cs="Arial"/>
        </w:rPr>
        <w:t xml:space="preserve">Titheridge, </w:t>
      </w:r>
      <w:r>
        <w:rPr>
          <w:rFonts w:cs="Arial"/>
        </w:rPr>
        <w:t xml:space="preserve">H., </w:t>
      </w:r>
      <w:r w:rsidRPr="006E654C">
        <w:rPr>
          <w:rFonts w:cs="Arial"/>
        </w:rPr>
        <w:t xml:space="preserve">Preston, </w:t>
      </w:r>
      <w:r>
        <w:rPr>
          <w:rFonts w:cs="Arial"/>
        </w:rPr>
        <w:t xml:space="preserve">J., </w:t>
      </w:r>
      <w:r w:rsidRPr="006E654C">
        <w:rPr>
          <w:rFonts w:cs="Arial"/>
        </w:rPr>
        <w:t xml:space="preserve">Wardman, </w:t>
      </w:r>
      <w:r>
        <w:rPr>
          <w:rFonts w:cs="Arial"/>
        </w:rPr>
        <w:t xml:space="preserve">M., </w:t>
      </w:r>
      <w:r w:rsidRPr="006E654C">
        <w:rPr>
          <w:rFonts w:cs="Arial"/>
        </w:rPr>
        <w:t xml:space="preserve">Shires, </w:t>
      </w:r>
      <w:r>
        <w:rPr>
          <w:rFonts w:cs="Arial"/>
        </w:rPr>
        <w:t xml:space="preserve">J. </w:t>
      </w:r>
      <w:r w:rsidRPr="006E654C">
        <w:rPr>
          <w:rFonts w:cs="Arial"/>
        </w:rPr>
        <w:t>and White</w:t>
      </w:r>
      <w:r>
        <w:rPr>
          <w:rFonts w:cs="Arial"/>
        </w:rPr>
        <w:t>, P</w:t>
      </w:r>
      <w:r w:rsidRPr="006E654C">
        <w:rPr>
          <w:rFonts w:cs="Arial"/>
        </w:rPr>
        <w:t>. 2006</w:t>
      </w:r>
      <w:r>
        <w:rPr>
          <w:rFonts w:cs="Arial"/>
        </w:rPr>
        <w:t>,</w:t>
      </w:r>
      <w:r w:rsidRPr="006E654C">
        <w:rPr>
          <w:rFonts w:cs="Arial"/>
        </w:rPr>
        <w:t xml:space="preserve"> </w:t>
      </w:r>
      <w:r>
        <w:rPr>
          <w:rFonts w:cs="Arial"/>
        </w:rPr>
        <w:t>‘</w:t>
      </w:r>
      <w:r w:rsidRPr="006E654C">
        <w:rPr>
          <w:rFonts w:cs="Arial"/>
        </w:rPr>
        <w:t>The demand for public transp</w:t>
      </w:r>
      <w:r>
        <w:rPr>
          <w:rFonts w:cs="Arial"/>
        </w:rPr>
        <w:t>ort: The effects of fares, qual</w:t>
      </w:r>
      <w:r w:rsidRPr="006E654C">
        <w:rPr>
          <w:rFonts w:cs="Arial"/>
        </w:rPr>
        <w:t>ity of service, income and car ownership</w:t>
      </w:r>
      <w:r>
        <w:rPr>
          <w:rFonts w:cs="Arial"/>
        </w:rPr>
        <w:t>’,</w:t>
      </w:r>
      <w:r w:rsidRPr="006E654C">
        <w:rPr>
          <w:rFonts w:cs="Arial"/>
        </w:rPr>
        <w:t xml:space="preserve"> </w:t>
      </w:r>
      <w:r w:rsidRPr="006E654C">
        <w:rPr>
          <w:rFonts w:cs="Arial"/>
          <w:i/>
          <w:iCs/>
        </w:rPr>
        <w:t>Transport Policy</w:t>
      </w:r>
      <w:r>
        <w:rPr>
          <w:rFonts w:cs="Arial"/>
          <w:iCs/>
        </w:rPr>
        <w:t xml:space="preserve">, vol. </w:t>
      </w:r>
      <w:r w:rsidRPr="006E654C">
        <w:rPr>
          <w:rFonts w:cs="Arial"/>
        </w:rPr>
        <w:t>13</w:t>
      </w:r>
      <w:r>
        <w:rPr>
          <w:rFonts w:cs="Arial"/>
        </w:rPr>
        <w:t xml:space="preserve">, no. </w:t>
      </w:r>
      <w:r w:rsidRPr="006E654C">
        <w:rPr>
          <w:rFonts w:cs="Arial"/>
        </w:rPr>
        <w:t>4</w:t>
      </w:r>
      <w:r>
        <w:rPr>
          <w:rFonts w:cs="Arial"/>
        </w:rPr>
        <w:t xml:space="preserve">, pp. </w:t>
      </w:r>
      <w:r w:rsidRPr="006E654C">
        <w:rPr>
          <w:rFonts w:cs="Arial"/>
        </w:rPr>
        <w:t>295–306.</w:t>
      </w:r>
    </w:p>
    <w:p w14:paraId="69F62AB4" w14:textId="77777777" w:rsidR="00DD4716" w:rsidRPr="001E76A9" w:rsidRDefault="00DD4716" w:rsidP="00181C01">
      <w:pPr>
        <w:autoSpaceDE w:val="0"/>
        <w:autoSpaceDN w:val="0"/>
        <w:adjustRightInd w:val="0"/>
        <w:spacing w:after="120" w:line="240" w:lineRule="auto"/>
        <w:rPr>
          <w:rFonts w:cs="Arial"/>
          <w:i/>
          <w:iCs/>
        </w:rPr>
      </w:pPr>
      <w:r w:rsidRPr="001E76A9">
        <w:rPr>
          <w:rFonts w:cs="Arial"/>
          <w:iCs/>
        </w:rPr>
        <w:t>Peters,J.R. and Kramer,J.K</w:t>
      </w:r>
      <w:r w:rsidRPr="001E76A9">
        <w:rPr>
          <w:rFonts w:cs="Arial"/>
          <w:i/>
          <w:iCs/>
        </w:rPr>
        <w:t>.</w:t>
      </w:r>
      <w:r w:rsidRPr="00DD4716">
        <w:rPr>
          <w:rFonts w:cs="Arial"/>
        </w:rPr>
        <w:t>, ‘</w:t>
      </w:r>
      <w:r w:rsidRPr="00DD4716">
        <w:rPr>
          <w:rFonts w:cs="Arial"/>
          <w:iCs/>
        </w:rPr>
        <w:t>2012</w:t>
      </w:r>
      <w:r>
        <w:rPr>
          <w:rFonts w:cs="Arial"/>
          <w:iCs/>
        </w:rPr>
        <w:t>,</w:t>
      </w:r>
      <w:r w:rsidRPr="001E76A9">
        <w:rPr>
          <w:rFonts w:cs="Arial"/>
          <w:i/>
          <w:iCs/>
        </w:rPr>
        <w:t xml:space="preserve"> </w:t>
      </w:r>
      <w:r>
        <w:rPr>
          <w:rFonts w:cs="Arial"/>
          <w:iCs/>
        </w:rPr>
        <w:t>‘</w:t>
      </w:r>
      <w:r w:rsidRPr="001E76A9">
        <w:rPr>
          <w:rFonts w:cs="Arial"/>
        </w:rPr>
        <w:t xml:space="preserve">Just who should pay for what? Vertical </w:t>
      </w:r>
      <w:r>
        <w:rPr>
          <w:rFonts w:cs="Arial"/>
        </w:rPr>
        <w:t>e</w:t>
      </w:r>
      <w:r w:rsidRPr="001E76A9">
        <w:rPr>
          <w:rFonts w:cs="Arial"/>
        </w:rPr>
        <w:t xml:space="preserve">quity, </w:t>
      </w:r>
      <w:r>
        <w:rPr>
          <w:rFonts w:cs="Arial"/>
        </w:rPr>
        <w:t>t</w:t>
      </w:r>
      <w:r w:rsidRPr="001E76A9">
        <w:rPr>
          <w:rFonts w:cs="Arial"/>
        </w:rPr>
        <w:t xml:space="preserve">ransit subsidy and road pricing: The </w:t>
      </w:r>
      <w:r>
        <w:rPr>
          <w:rFonts w:cs="Arial"/>
        </w:rPr>
        <w:t>c</w:t>
      </w:r>
      <w:r w:rsidRPr="001E76A9">
        <w:rPr>
          <w:rFonts w:cs="Arial"/>
        </w:rPr>
        <w:t>ase of New York City</w:t>
      </w:r>
      <w:r w:rsidRPr="001E76A9">
        <w:rPr>
          <w:rFonts w:cs="Arial"/>
          <w:i/>
          <w:iCs/>
        </w:rPr>
        <w:t xml:space="preserve"> Journal of Public Transportation</w:t>
      </w:r>
      <w:r w:rsidRPr="00DD4716">
        <w:rPr>
          <w:rFonts w:cs="Arial"/>
          <w:iCs/>
        </w:rPr>
        <w:t xml:space="preserve">, </w:t>
      </w:r>
      <w:r>
        <w:rPr>
          <w:rFonts w:cs="Arial"/>
          <w:iCs/>
        </w:rPr>
        <w:t xml:space="preserve">vol. </w:t>
      </w:r>
      <w:r w:rsidRPr="00DD4716">
        <w:rPr>
          <w:rFonts w:cs="Arial"/>
          <w:iCs/>
        </w:rPr>
        <w:t xml:space="preserve">15, </w:t>
      </w:r>
      <w:r>
        <w:rPr>
          <w:rFonts w:cs="Arial"/>
          <w:iCs/>
        </w:rPr>
        <w:t xml:space="preserve">pp. </w:t>
      </w:r>
      <w:r w:rsidRPr="00DD4716">
        <w:rPr>
          <w:rFonts w:cs="Arial"/>
          <w:iCs/>
        </w:rPr>
        <w:t>117-136</w:t>
      </w:r>
      <w:r>
        <w:rPr>
          <w:rFonts w:cs="Arial"/>
          <w:iCs/>
        </w:rPr>
        <w:t>.</w:t>
      </w:r>
    </w:p>
    <w:p w14:paraId="69F62AB5" w14:textId="77777777" w:rsidR="00DD4716" w:rsidRDefault="00DD4716" w:rsidP="00181C01">
      <w:pPr>
        <w:autoSpaceDE w:val="0"/>
        <w:autoSpaceDN w:val="0"/>
        <w:adjustRightInd w:val="0"/>
        <w:spacing w:after="120" w:line="240" w:lineRule="auto"/>
        <w:rPr>
          <w:rFonts w:cs="Arial"/>
        </w:rPr>
      </w:pPr>
      <w:r>
        <w:rPr>
          <w:rFonts w:cs="Arial"/>
        </w:rPr>
        <w:t xml:space="preserve">Pratt, R. and Evans, R. 2004, </w:t>
      </w:r>
      <w:r w:rsidRPr="002B4BB0">
        <w:rPr>
          <w:rFonts w:cs="Arial"/>
        </w:rPr>
        <w:t>‘</w:t>
      </w:r>
      <w:r w:rsidRPr="00181C01">
        <w:rPr>
          <w:rFonts w:cs="Arial"/>
        </w:rPr>
        <w:t>Bus routing and coverage’</w:t>
      </w:r>
      <w:r>
        <w:rPr>
          <w:rFonts w:cs="Arial"/>
        </w:rPr>
        <w:t xml:space="preserve">, </w:t>
      </w:r>
      <w:r>
        <w:rPr>
          <w:rFonts w:cs="Arial"/>
          <w:i/>
        </w:rPr>
        <w:t>Traveler response to transportation system changes</w:t>
      </w:r>
      <w:r>
        <w:rPr>
          <w:rFonts w:cs="Arial"/>
        </w:rPr>
        <w:t>, TCRP 95, Transportation Research Board, Washington, D.C.</w:t>
      </w:r>
    </w:p>
    <w:p w14:paraId="69F62AB6" w14:textId="77777777" w:rsidR="00DD4716" w:rsidRDefault="00DD4716" w:rsidP="00181C01">
      <w:pPr>
        <w:autoSpaceDE w:val="0"/>
        <w:autoSpaceDN w:val="0"/>
        <w:adjustRightInd w:val="0"/>
        <w:spacing w:after="120" w:line="240" w:lineRule="auto"/>
        <w:rPr>
          <w:rFonts w:cs="Arial"/>
        </w:rPr>
      </w:pPr>
      <w:r>
        <w:rPr>
          <w:rFonts w:cs="Arial"/>
        </w:rPr>
        <w:t xml:space="preserve">Public Transport Victoria 2012, </w:t>
      </w:r>
      <w:r>
        <w:rPr>
          <w:rFonts w:cs="Arial"/>
          <w:i/>
        </w:rPr>
        <w:t>Network development plan: Metropolitan rail</w:t>
      </w:r>
      <w:r>
        <w:rPr>
          <w:rFonts w:cs="Arial"/>
        </w:rPr>
        <w:t>, Public Transport Victoria, Melbourne.</w:t>
      </w:r>
    </w:p>
    <w:p w14:paraId="69F62AB7" w14:textId="77777777" w:rsidR="00DD4716" w:rsidRPr="001E76A9" w:rsidRDefault="00DD4716" w:rsidP="00181C01">
      <w:pPr>
        <w:pStyle w:val="HTMLPreformatted"/>
        <w:spacing w:after="120"/>
        <w:rPr>
          <w:rFonts w:ascii="Arial" w:hAnsi="Arial" w:cs="Arial"/>
          <w:sz w:val="22"/>
          <w:szCs w:val="22"/>
        </w:rPr>
      </w:pPr>
      <w:r w:rsidRPr="001E76A9">
        <w:rPr>
          <w:rFonts w:ascii="Arial" w:hAnsi="Arial" w:cs="Arial"/>
          <w:sz w:val="22"/>
          <w:szCs w:val="22"/>
        </w:rPr>
        <w:t>Thomopoulos,</w:t>
      </w:r>
      <w:r>
        <w:rPr>
          <w:rFonts w:ascii="Arial" w:hAnsi="Arial" w:cs="Arial"/>
          <w:sz w:val="22"/>
          <w:szCs w:val="22"/>
        </w:rPr>
        <w:t xml:space="preserve"> </w:t>
      </w:r>
      <w:r w:rsidRPr="001E76A9">
        <w:rPr>
          <w:rFonts w:ascii="Arial" w:hAnsi="Arial" w:cs="Arial"/>
          <w:sz w:val="22"/>
          <w:szCs w:val="22"/>
        </w:rPr>
        <w:t>N. Grant-Muller,S. and Tight, M.R.</w:t>
      </w:r>
      <w:r>
        <w:rPr>
          <w:rFonts w:ascii="Arial" w:hAnsi="Arial" w:cs="Arial"/>
          <w:sz w:val="22"/>
          <w:szCs w:val="22"/>
        </w:rPr>
        <w:t xml:space="preserve">, </w:t>
      </w:r>
      <w:r w:rsidRPr="001E76A9">
        <w:rPr>
          <w:rFonts w:ascii="Arial" w:hAnsi="Arial" w:cs="Arial"/>
          <w:sz w:val="22"/>
          <w:szCs w:val="22"/>
        </w:rPr>
        <w:t>2009</w:t>
      </w:r>
      <w:r>
        <w:rPr>
          <w:rFonts w:ascii="Arial" w:hAnsi="Arial" w:cs="Arial"/>
          <w:sz w:val="22"/>
          <w:szCs w:val="22"/>
        </w:rPr>
        <w:t>, ‘</w:t>
      </w:r>
      <w:r w:rsidRPr="001E76A9">
        <w:rPr>
          <w:rFonts w:ascii="Arial" w:hAnsi="Arial" w:cs="Arial"/>
          <w:sz w:val="22"/>
          <w:szCs w:val="22"/>
        </w:rPr>
        <w:t>Incorporating equity considerations in transport infrastructure evaluation: Current practice and a proposed methodology</w:t>
      </w:r>
      <w:r>
        <w:rPr>
          <w:rFonts w:ascii="Arial" w:hAnsi="Arial" w:cs="Arial"/>
          <w:sz w:val="22"/>
          <w:szCs w:val="22"/>
        </w:rPr>
        <w:t>’</w:t>
      </w:r>
      <w:r w:rsidRPr="001E76A9">
        <w:rPr>
          <w:rFonts w:ascii="Arial" w:hAnsi="Arial" w:cs="Arial"/>
          <w:sz w:val="22"/>
          <w:szCs w:val="22"/>
        </w:rPr>
        <w:t xml:space="preserve">, </w:t>
      </w:r>
      <w:r w:rsidRPr="001E76A9">
        <w:rPr>
          <w:rFonts w:ascii="Arial" w:hAnsi="Arial" w:cs="Arial"/>
          <w:i/>
          <w:sz w:val="22"/>
          <w:szCs w:val="22"/>
        </w:rPr>
        <w:t>Evaluation and Program Planning</w:t>
      </w:r>
      <w:r w:rsidRPr="001E76A9">
        <w:rPr>
          <w:rFonts w:ascii="Arial" w:hAnsi="Arial" w:cs="Arial"/>
          <w:sz w:val="22"/>
          <w:szCs w:val="22"/>
        </w:rPr>
        <w:t xml:space="preserve">, </w:t>
      </w:r>
      <w:r>
        <w:rPr>
          <w:rFonts w:ascii="Arial" w:hAnsi="Arial" w:cs="Arial"/>
          <w:sz w:val="22"/>
          <w:szCs w:val="22"/>
        </w:rPr>
        <w:t xml:space="preserve">vol. </w:t>
      </w:r>
      <w:r w:rsidRPr="001E76A9">
        <w:rPr>
          <w:rFonts w:ascii="Arial" w:hAnsi="Arial" w:cs="Arial"/>
          <w:sz w:val="22"/>
          <w:szCs w:val="22"/>
        </w:rPr>
        <w:t>32</w:t>
      </w:r>
      <w:r>
        <w:rPr>
          <w:rFonts w:ascii="Arial" w:hAnsi="Arial" w:cs="Arial"/>
          <w:sz w:val="22"/>
          <w:szCs w:val="22"/>
        </w:rPr>
        <w:t xml:space="preserve">, no. </w:t>
      </w:r>
      <w:r w:rsidRPr="001E76A9">
        <w:rPr>
          <w:rFonts w:ascii="Arial" w:hAnsi="Arial" w:cs="Arial"/>
          <w:sz w:val="22"/>
          <w:szCs w:val="22"/>
        </w:rPr>
        <w:t>4,</w:t>
      </w:r>
      <w:r>
        <w:rPr>
          <w:rFonts w:ascii="Arial" w:hAnsi="Arial" w:cs="Arial"/>
          <w:sz w:val="22"/>
          <w:szCs w:val="22"/>
        </w:rPr>
        <w:t xml:space="preserve"> pp. 351-359.</w:t>
      </w:r>
    </w:p>
    <w:p w14:paraId="69F62AB8" w14:textId="77777777" w:rsidR="00DD4716" w:rsidRDefault="00DD4716" w:rsidP="00181C01">
      <w:pPr>
        <w:autoSpaceDE w:val="0"/>
        <w:autoSpaceDN w:val="0"/>
        <w:adjustRightInd w:val="0"/>
        <w:spacing w:after="120" w:line="240" w:lineRule="auto"/>
        <w:rPr>
          <w:rFonts w:cs="Arial"/>
        </w:rPr>
      </w:pPr>
      <w:r w:rsidRPr="00181C01">
        <w:rPr>
          <w:rFonts w:cs="Arial"/>
        </w:rPr>
        <w:t>Trans</w:t>
      </w:r>
      <w:r>
        <w:rPr>
          <w:rFonts w:cs="Arial"/>
        </w:rPr>
        <w:t xml:space="preserve">port for London 2010, </w:t>
      </w:r>
      <w:r w:rsidRPr="00181C01">
        <w:rPr>
          <w:rFonts w:cs="Arial"/>
          <w:i/>
        </w:rPr>
        <w:t>Measuring Public Transport Accessibility Levels: PTALs summary</w:t>
      </w:r>
      <w:r>
        <w:rPr>
          <w:rFonts w:cs="Arial"/>
        </w:rPr>
        <w:t>, Transport for London, London</w:t>
      </w:r>
    </w:p>
    <w:p w14:paraId="69F62AB9" w14:textId="77777777" w:rsidR="00DD4716" w:rsidRDefault="00DD4716" w:rsidP="00181C01">
      <w:pPr>
        <w:autoSpaceDE w:val="0"/>
        <w:autoSpaceDN w:val="0"/>
        <w:adjustRightInd w:val="0"/>
        <w:spacing w:after="120" w:line="240" w:lineRule="auto"/>
        <w:rPr>
          <w:rFonts w:cs="Arial"/>
        </w:rPr>
      </w:pPr>
      <w:r>
        <w:rPr>
          <w:rFonts w:cs="Arial"/>
        </w:rPr>
        <w:t xml:space="preserve">Transport for London 2015, </w:t>
      </w:r>
      <w:r>
        <w:rPr>
          <w:rFonts w:cs="Arial"/>
          <w:i/>
        </w:rPr>
        <w:t>Assessing transport connectivity in London</w:t>
      </w:r>
      <w:r>
        <w:rPr>
          <w:rFonts w:cs="Arial"/>
        </w:rPr>
        <w:t>, Transport for London, London.</w:t>
      </w:r>
    </w:p>
    <w:p w14:paraId="69F62ABA" w14:textId="77777777" w:rsidR="00DD4716" w:rsidRDefault="00DD4716" w:rsidP="00181C01">
      <w:pPr>
        <w:autoSpaceDE w:val="0"/>
        <w:autoSpaceDN w:val="0"/>
        <w:adjustRightInd w:val="0"/>
        <w:spacing w:after="120" w:line="240" w:lineRule="auto"/>
        <w:rPr>
          <w:rFonts w:cs="Arial"/>
        </w:rPr>
      </w:pPr>
      <w:r>
        <w:rPr>
          <w:rFonts w:cs="Arial"/>
        </w:rPr>
        <w:t>Transport for New South Wales 2013, Integrated public transport service planning guidelines: Sydney metropolitan area, Transport for New South Wales, Sydney.</w:t>
      </w:r>
    </w:p>
    <w:p w14:paraId="69F62ABB" w14:textId="77777777" w:rsidR="00DD4716" w:rsidRPr="0084520A" w:rsidRDefault="00DD4716" w:rsidP="00181C01">
      <w:pPr>
        <w:autoSpaceDE w:val="0"/>
        <w:autoSpaceDN w:val="0"/>
        <w:adjustRightInd w:val="0"/>
        <w:spacing w:after="120" w:line="240" w:lineRule="auto"/>
        <w:rPr>
          <w:rFonts w:cs="Arial"/>
        </w:rPr>
      </w:pPr>
      <w:r>
        <w:rPr>
          <w:rFonts w:cs="Arial"/>
        </w:rPr>
        <w:t xml:space="preserve">Transport for New South Wales 2015, </w:t>
      </w:r>
      <w:r>
        <w:rPr>
          <w:rFonts w:cs="Arial"/>
          <w:i/>
        </w:rPr>
        <w:t>Public Transport Accessibility Level (PTAL)</w:t>
      </w:r>
      <w:r>
        <w:rPr>
          <w:rFonts w:cs="Arial"/>
        </w:rPr>
        <w:t>, unpublished.</w:t>
      </w:r>
    </w:p>
    <w:p w14:paraId="69F62ABC" w14:textId="77777777" w:rsidR="00DD4716" w:rsidRDefault="00DD4716" w:rsidP="00181C01">
      <w:pPr>
        <w:autoSpaceDE w:val="0"/>
        <w:autoSpaceDN w:val="0"/>
        <w:adjustRightInd w:val="0"/>
        <w:spacing w:after="120" w:line="240" w:lineRule="auto"/>
        <w:rPr>
          <w:rFonts w:cs="Arial"/>
        </w:rPr>
      </w:pPr>
      <w:r w:rsidRPr="00786012">
        <w:rPr>
          <w:rFonts w:cs="Arial"/>
        </w:rPr>
        <w:t>Van de Velde, D.M. 1999</w:t>
      </w:r>
      <w:r>
        <w:rPr>
          <w:rFonts w:cs="Arial"/>
        </w:rPr>
        <w:t>,</w:t>
      </w:r>
      <w:r w:rsidRPr="00786012">
        <w:rPr>
          <w:rFonts w:cs="Arial"/>
        </w:rPr>
        <w:t xml:space="preserve"> </w:t>
      </w:r>
      <w:r>
        <w:rPr>
          <w:rFonts w:cs="Arial"/>
        </w:rPr>
        <w:t>‘</w:t>
      </w:r>
      <w:r w:rsidRPr="00786012">
        <w:rPr>
          <w:rFonts w:cs="Arial"/>
        </w:rPr>
        <w:t>Organisational forms and entrepreneurship in public transport</w:t>
      </w:r>
      <w:r>
        <w:rPr>
          <w:rFonts w:cs="Arial"/>
        </w:rPr>
        <w:t>’</w:t>
      </w:r>
      <w:r w:rsidRPr="00786012">
        <w:rPr>
          <w:rFonts w:cs="Arial"/>
        </w:rPr>
        <w:t xml:space="preserve">, </w:t>
      </w:r>
      <w:r w:rsidRPr="00181C01">
        <w:rPr>
          <w:rFonts w:cs="Arial"/>
          <w:i/>
        </w:rPr>
        <w:t>Transport Policy</w:t>
      </w:r>
      <w:r w:rsidRPr="00786012">
        <w:rPr>
          <w:rFonts w:cs="Arial"/>
        </w:rPr>
        <w:t xml:space="preserve">, </w:t>
      </w:r>
      <w:r>
        <w:rPr>
          <w:rFonts w:cs="Arial"/>
        </w:rPr>
        <w:t xml:space="preserve">vol. </w:t>
      </w:r>
      <w:r w:rsidRPr="00786012">
        <w:rPr>
          <w:rFonts w:cs="Arial"/>
        </w:rPr>
        <w:t xml:space="preserve">6, </w:t>
      </w:r>
      <w:r>
        <w:rPr>
          <w:rFonts w:cs="Arial"/>
        </w:rPr>
        <w:t xml:space="preserve">no. 3, pp. </w:t>
      </w:r>
      <w:r w:rsidRPr="00786012">
        <w:rPr>
          <w:rFonts w:cs="Arial"/>
        </w:rPr>
        <w:t>147-157.</w:t>
      </w:r>
    </w:p>
    <w:p w14:paraId="69F62ABD" w14:textId="77777777" w:rsidR="00DD4716" w:rsidRDefault="00DD4716" w:rsidP="00181C01">
      <w:pPr>
        <w:autoSpaceDE w:val="0"/>
        <w:autoSpaceDN w:val="0"/>
        <w:adjustRightInd w:val="0"/>
        <w:spacing w:after="120" w:line="240" w:lineRule="auto"/>
        <w:rPr>
          <w:rFonts w:cs="Arial"/>
        </w:rPr>
      </w:pPr>
      <w:r>
        <w:rPr>
          <w:rFonts w:cs="Arial"/>
        </w:rPr>
        <w:t xml:space="preserve">Victorian Auditor-General 2014, </w:t>
      </w:r>
      <w:r>
        <w:rPr>
          <w:rFonts w:cs="Arial"/>
          <w:i/>
        </w:rPr>
        <w:t>Coordinating public transport</w:t>
      </w:r>
      <w:r>
        <w:rPr>
          <w:rFonts w:cs="Arial"/>
        </w:rPr>
        <w:t>, 2014-15:2, Victorian Auditor-General, Melbourne.</w:t>
      </w:r>
    </w:p>
    <w:p w14:paraId="69F62ABE" w14:textId="77777777" w:rsidR="00DD4716" w:rsidRDefault="00DD4716" w:rsidP="00181C01">
      <w:pPr>
        <w:autoSpaceDE w:val="0"/>
        <w:autoSpaceDN w:val="0"/>
        <w:adjustRightInd w:val="0"/>
        <w:spacing w:after="120" w:line="240" w:lineRule="auto"/>
        <w:rPr>
          <w:rFonts w:cs="Arial"/>
        </w:rPr>
      </w:pPr>
      <w:r>
        <w:rPr>
          <w:rFonts w:cs="Arial"/>
        </w:rPr>
        <w:t>Walker, J. 2008, ‘</w:t>
      </w:r>
      <w:r w:rsidRPr="006E654C">
        <w:rPr>
          <w:rFonts w:cs="Arial"/>
        </w:rPr>
        <w:t>Purpose-driven public transport: creating a clear conversation about public transport goals</w:t>
      </w:r>
      <w:r>
        <w:rPr>
          <w:rFonts w:cs="Arial"/>
        </w:rPr>
        <w:t xml:space="preserve">’, </w:t>
      </w:r>
      <w:r w:rsidRPr="00181C01">
        <w:rPr>
          <w:rFonts w:cs="Arial"/>
          <w:i/>
        </w:rPr>
        <w:t xml:space="preserve">Journal of </w:t>
      </w:r>
      <w:r>
        <w:rPr>
          <w:rFonts w:cs="Arial"/>
          <w:i/>
        </w:rPr>
        <w:t xml:space="preserve">Transport </w:t>
      </w:r>
      <w:r w:rsidRPr="00181C01">
        <w:rPr>
          <w:rFonts w:cs="Arial"/>
          <w:i/>
        </w:rPr>
        <w:t>Geography</w:t>
      </w:r>
      <w:r>
        <w:rPr>
          <w:rFonts w:cs="Arial"/>
        </w:rPr>
        <w:t>, vol. 16, no. 6, pp. 436-442.</w:t>
      </w:r>
    </w:p>
    <w:p w14:paraId="69F62ABF" w14:textId="77777777" w:rsidR="00DD4716" w:rsidRDefault="00DD4716" w:rsidP="00181C01">
      <w:pPr>
        <w:autoSpaceDE w:val="0"/>
        <w:autoSpaceDN w:val="0"/>
        <w:adjustRightInd w:val="0"/>
        <w:spacing w:after="120" w:line="240" w:lineRule="auto"/>
        <w:rPr>
          <w:rFonts w:cs="Arial"/>
        </w:rPr>
      </w:pPr>
      <w:r>
        <w:rPr>
          <w:rFonts w:cs="Arial"/>
        </w:rPr>
        <w:t xml:space="preserve">Wardman, M. 2001, ‘A review of British evidence on time and service quality valuations’, </w:t>
      </w:r>
      <w:r>
        <w:rPr>
          <w:rFonts w:cs="Arial"/>
          <w:i/>
        </w:rPr>
        <w:t>Transportation Research Part E</w:t>
      </w:r>
      <w:r>
        <w:rPr>
          <w:rFonts w:cs="Arial"/>
        </w:rPr>
        <w:t>, vol. 37, no. 2, pp. 107-108.</w:t>
      </w:r>
    </w:p>
    <w:p w14:paraId="69F62AC0" w14:textId="77777777" w:rsidR="00DD4716" w:rsidRPr="001E76A9" w:rsidRDefault="00DD4716" w:rsidP="00181C01">
      <w:pPr>
        <w:pStyle w:val="HTMLPreformatted"/>
        <w:spacing w:after="120"/>
        <w:rPr>
          <w:rFonts w:ascii="Arial" w:hAnsi="Arial" w:cs="Arial"/>
          <w:sz w:val="22"/>
          <w:szCs w:val="22"/>
        </w:rPr>
      </w:pPr>
      <w:r w:rsidRPr="001E76A9">
        <w:rPr>
          <w:rFonts w:ascii="Arial" w:hAnsi="Arial" w:cs="Arial"/>
          <w:sz w:val="22"/>
          <w:szCs w:val="22"/>
        </w:rPr>
        <w:t>Welch,T.F. 2013</w:t>
      </w:r>
      <w:r>
        <w:rPr>
          <w:rFonts w:ascii="Arial" w:hAnsi="Arial" w:cs="Arial"/>
          <w:sz w:val="22"/>
          <w:szCs w:val="22"/>
        </w:rPr>
        <w:t>,</w:t>
      </w:r>
      <w:r w:rsidRPr="001E76A9">
        <w:rPr>
          <w:rFonts w:ascii="Arial" w:hAnsi="Arial" w:cs="Arial"/>
          <w:sz w:val="22"/>
          <w:szCs w:val="22"/>
        </w:rPr>
        <w:t xml:space="preserve"> </w:t>
      </w:r>
      <w:r>
        <w:rPr>
          <w:rFonts w:ascii="Arial" w:hAnsi="Arial" w:cs="Arial"/>
          <w:sz w:val="22"/>
          <w:szCs w:val="22"/>
        </w:rPr>
        <w:t>‘</w:t>
      </w:r>
      <w:r w:rsidRPr="001E76A9">
        <w:rPr>
          <w:rFonts w:ascii="Arial" w:hAnsi="Arial" w:cs="Arial"/>
          <w:sz w:val="22"/>
          <w:szCs w:val="22"/>
        </w:rPr>
        <w:t>Equity in transport: The distribution of transit access and connectivity among affordable housing units</w:t>
      </w:r>
      <w:r>
        <w:rPr>
          <w:rFonts w:ascii="Arial" w:hAnsi="Arial" w:cs="Arial"/>
          <w:sz w:val="22"/>
          <w:szCs w:val="22"/>
        </w:rPr>
        <w:t>’</w:t>
      </w:r>
      <w:r w:rsidRPr="001E76A9">
        <w:rPr>
          <w:rFonts w:ascii="Arial" w:hAnsi="Arial" w:cs="Arial"/>
          <w:sz w:val="22"/>
          <w:szCs w:val="22"/>
        </w:rPr>
        <w:t xml:space="preserve">, </w:t>
      </w:r>
      <w:r w:rsidRPr="001E76A9">
        <w:rPr>
          <w:rFonts w:ascii="Arial" w:hAnsi="Arial" w:cs="Arial"/>
          <w:i/>
          <w:sz w:val="22"/>
          <w:szCs w:val="22"/>
        </w:rPr>
        <w:t>Transport Policy</w:t>
      </w:r>
      <w:r w:rsidRPr="001E76A9">
        <w:rPr>
          <w:rFonts w:ascii="Arial" w:hAnsi="Arial" w:cs="Arial"/>
          <w:sz w:val="22"/>
          <w:szCs w:val="22"/>
        </w:rPr>
        <w:t xml:space="preserve">, </w:t>
      </w:r>
      <w:r>
        <w:rPr>
          <w:rFonts w:ascii="Arial" w:hAnsi="Arial" w:cs="Arial"/>
          <w:sz w:val="22"/>
          <w:szCs w:val="22"/>
        </w:rPr>
        <w:t xml:space="preserve">vol. </w:t>
      </w:r>
      <w:r w:rsidRPr="001E76A9">
        <w:rPr>
          <w:rFonts w:ascii="Arial" w:hAnsi="Arial" w:cs="Arial"/>
          <w:sz w:val="22"/>
          <w:szCs w:val="22"/>
        </w:rPr>
        <w:t>30,</w:t>
      </w:r>
      <w:r>
        <w:rPr>
          <w:rFonts w:ascii="Arial" w:hAnsi="Arial" w:cs="Arial"/>
          <w:sz w:val="22"/>
          <w:szCs w:val="22"/>
        </w:rPr>
        <w:t xml:space="preserve"> pp. </w:t>
      </w:r>
      <w:r w:rsidRPr="001E76A9">
        <w:rPr>
          <w:rFonts w:ascii="Arial" w:hAnsi="Arial" w:cs="Arial"/>
          <w:sz w:val="22"/>
          <w:szCs w:val="22"/>
        </w:rPr>
        <w:t>283-293</w:t>
      </w:r>
      <w:r>
        <w:rPr>
          <w:rFonts w:ascii="Arial" w:hAnsi="Arial" w:cs="Arial"/>
          <w:sz w:val="22"/>
          <w:szCs w:val="22"/>
        </w:rPr>
        <w:t>.</w:t>
      </w:r>
    </w:p>
    <w:p w14:paraId="69F62AC1" w14:textId="77777777" w:rsidR="00DD4716" w:rsidRPr="001E76A9" w:rsidRDefault="00DD4716" w:rsidP="00181C01">
      <w:pPr>
        <w:autoSpaceDE w:val="0"/>
        <w:autoSpaceDN w:val="0"/>
        <w:adjustRightInd w:val="0"/>
        <w:spacing w:after="120" w:line="240" w:lineRule="auto"/>
        <w:rPr>
          <w:rFonts w:cs="Arial"/>
        </w:rPr>
      </w:pPr>
      <w:r w:rsidRPr="001E76A9">
        <w:rPr>
          <w:rFonts w:cs="Arial"/>
        </w:rPr>
        <w:t>Wells, P. 2012</w:t>
      </w:r>
      <w:r>
        <w:rPr>
          <w:rFonts w:cs="Arial"/>
        </w:rPr>
        <w:t>, ‘</w:t>
      </w:r>
      <w:r w:rsidRPr="001E76A9">
        <w:rPr>
          <w:rFonts w:cs="Arial"/>
        </w:rPr>
        <w:t>Converging transport policy,</w:t>
      </w:r>
      <w:r>
        <w:rPr>
          <w:rFonts w:cs="Arial"/>
        </w:rPr>
        <w:t xml:space="preserve"> </w:t>
      </w:r>
      <w:r w:rsidRPr="001E76A9">
        <w:rPr>
          <w:rFonts w:cs="Arial"/>
        </w:rPr>
        <w:t>industrial policy and environmental policy: The implications for localities and social equity</w:t>
      </w:r>
      <w:r>
        <w:rPr>
          <w:rFonts w:cs="Arial"/>
        </w:rPr>
        <w:t>’</w:t>
      </w:r>
      <w:r w:rsidRPr="001E76A9">
        <w:rPr>
          <w:rFonts w:cs="Arial"/>
        </w:rPr>
        <w:t xml:space="preserve">, </w:t>
      </w:r>
      <w:r w:rsidRPr="001E76A9">
        <w:rPr>
          <w:rFonts w:cs="Arial"/>
          <w:i/>
        </w:rPr>
        <w:t>Local Economy</w:t>
      </w:r>
      <w:r w:rsidRPr="001E76A9">
        <w:rPr>
          <w:rFonts w:cs="Arial"/>
        </w:rPr>
        <w:t xml:space="preserve">, </w:t>
      </w:r>
      <w:r>
        <w:rPr>
          <w:rFonts w:cs="Arial"/>
        </w:rPr>
        <w:t xml:space="preserve">vol. </w:t>
      </w:r>
      <w:r w:rsidRPr="001E76A9">
        <w:rPr>
          <w:rFonts w:cs="Arial"/>
        </w:rPr>
        <w:t>27</w:t>
      </w:r>
      <w:r>
        <w:rPr>
          <w:rFonts w:cs="Arial"/>
        </w:rPr>
        <w:t xml:space="preserve">, no. </w:t>
      </w:r>
      <w:r w:rsidRPr="001E76A9">
        <w:rPr>
          <w:rFonts w:cs="Arial"/>
        </w:rPr>
        <w:t>7,</w:t>
      </w:r>
      <w:r>
        <w:rPr>
          <w:rFonts w:cs="Arial"/>
        </w:rPr>
        <w:t xml:space="preserve"> pp. </w:t>
      </w:r>
      <w:r w:rsidRPr="001E76A9">
        <w:rPr>
          <w:rFonts w:cs="Arial"/>
        </w:rPr>
        <w:t>749–763</w:t>
      </w:r>
      <w:r>
        <w:rPr>
          <w:rFonts w:cs="Arial"/>
        </w:rPr>
        <w:t>.</w:t>
      </w:r>
    </w:p>
    <w:p w14:paraId="69F62AC2" w14:textId="77777777" w:rsidR="00DD4716" w:rsidRDefault="00DD4716" w:rsidP="0084520A">
      <w:pPr>
        <w:autoSpaceDE w:val="0"/>
        <w:autoSpaceDN w:val="0"/>
        <w:adjustRightInd w:val="0"/>
        <w:spacing w:after="120" w:line="240" w:lineRule="auto"/>
        <w:rPr>
          <w:rFonts w:cs="Arial"/>
        </w:rPr>
      </w:pPr>
      <w:r>
        <w:rPr>
          <w:rFonts w:cs="Arial"/>
        </w:rPr>
        <w:t xml:space="preserve">Wu, B.M. and Hine, J.P. 2003, ‘A PTAL approach to measuring changes in bus service accessibility’, </w:t>
      </w:r>
      <w:r>
        <w:rPr>
          <w:rFonts w:cs="Arial"/>
          <w:i/>
        </w:rPr>
        <w:t>Transport Policy</w:t>
      </w:r>
      <w:r w:rsidRPr="00181C01">
        <w:rPr>
          <w:rFonts w:cs="Arial"/>
        </w:rPr>
        <w:t>, vol. 10</w:t>
      </w:r>
      <w:r>
        <w:rPr>
          <w:rFonts w:cs="Arial"/>
        </w:rPr>
        <w:t>, pp. 307-320.</w:t>
      </w:r>
    </w:p>
    <w:sectPr w:rsidR="00DD4716" w:rsidSect="00FF33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62AD3" w14:textId="77777777" w:rsidR="002B0FDC" w:rsidRDefault="002B0FDC" w:rsidP="00F50FBC">
      <w:pPr>
        <w:spacing w:after="0" w:line="240" w:lineRule="auto"/>
      </w:pPr>
      <w:r>
        <w:separator/>
      </w:r>
    </w:p>
  </w:endnote>
  <w:endnote w:type="continuationSeparator" w:id="0">
    <w:p w14:paraId="69F62AD4" w14:textId="77777777" w:rsidR="002B0FDC" w:rsidRDefault="002B0FDC" w:rsidP="00F50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256949"/>
      <w:docPartObj>
        <w:docPartGallery w:val="Page Numbers (Bottom of Page)"/>
        <w:docPartUnique/>
      </w:docPartObj>
    </w:sdtPr>
    <w:sdtEndPr>
      <w:rPr>
        <w:noProof/>
      </w:rPr>
    </w:sdtEndPr>
    <w:sdtContent>
      <w:p w14:paraId="428435F4" w14:textId="334A0D82" w:rsidR="00083851" w:rsidRDefault="00083851">
        <w:pPr>
          <w:pStyle w:val="Footer"/>
          <w:jc w:val="right"/>
        </w:pPr>
        <w:r>
          <w:fldChar w:fldCharType="begin"/>
        </w:r>
        <w:r>
          <w:instrText xml:space="preserve"> PAGE   \* MERGEFORMAT </w:instrText>
        </w:r>
        <w:r>
          <w:fldChar w:fldCharType="separate"/>
        </w:r>
        <w:r w:rsidR="001D72A5">
          <w:rPr>
            <w:noProof/>
          </w:rPr>
          <w:t>18</w:t>
        </w:r>
        <w:r>
          <w:rPr>
            <w:noProof/>
          </w:rPr>
          <w:fldChar w:fldCharType="end"/>
        </w:r>
      </w:p>
    </w:sdtContent>
  </w:sdt>
  <w:p w14:paraId="4D858507" w14:textId="77777777" w:rsidR="00083851" w:rsidRDefault="000838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862821"/>
      <w:docPartObj>
        <w:docPartGallery w:val="Page Numbers (Bottom of Page)"/>
        <w:docPartUnique/>
      </w:docPartObj>
    </w:sdtPr>
    <w:sdtEndPr>
      <w:rPr>
        <w:noProof/>
      </w:rPr>
    </w:sdtEndPr>
    <w:sdtContent>
      <w:p w14:paraId="0E68E40A" w14:textId="6A744C92" w:rsidR="00083851" w:rsidRDefault="00083851">
        <w:pPr>
          <w:pStyle w:val="Footer"/>
          <w:jc w:val="right"/>
        </w:pPr>
        <w:r>
          <w:fldChar w:fldCharType="begin"/>
        </w:r>
        <w:r>
          <w:instrText xml:space="preserve"> PAGE   \* MERGEFORMAT </w:instrText>
        </w:r>
        <w:r>
          <w:fldChar w:fldCharType="separate"/>
        </w:r>
        <w:r w:rsidR="001D72A5">
          <w:rPr>
            <w:noProof/>
          </w:rPr>
          <w:t>17</w:t>
        </w:r>
        <w:r>
          <w:rPr>
            <w:noProof/>
          </w:rPr>
          <w:fldChar w:fldCharType="end"/>
        </w:r>
      </w:p>
    </w:sdtContent>
  </w:sdt>
  <w:p w14:paraId="2D778393" w14:textId="77777777" w:rsidR="00083851" w:rsidRDefault="000838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125804"/>
      <w:docPartObj>
        <w:docPartGallery w:val="Page Numbers (Bottom of Page)"/>
        <w:docPartUnique/>
      </w:docPartObj>
    </w:sdtPr>
    <w:sdtEndPr>
      <w:rPr>
        <w:noProof/>
      </w:rPr>
    </w:sdtEndPr>
    <w:sdtContent>
      <w:p w14:paraId="1EE5FF50" w14:textId="707E8ADE" w:rsidR="00083851" w:rsidRDefault="00083851">
        <w:pPr>
          <w:pStyle w:val="Footer"/>
          <w:jc w:val="right"/>
        </w:pPr>
        <w:r>
          <w:fldChar w:fldCharType="begin"/>
        </w:r>
        <w:r>
          <w:instrText xml:space="preserve"> PAGE   \* MERGEFORMAT </w:instrText>
        </w:r>
        <w:r>
          <w:fldChar w:fldCharType="separate"/>
        </w:r>
        <w:r w:rsidR="001D72A5">
          <w:rPr>
            <w:noProof/>
          </w:rPr>
          <w:t>1</w:t>
        </w:r>
        <w:r>
          <w:rPr>
            <w:noProof/>
          </w:rPr>
          <w:fldChar w:fldCharType="end"/>
        </w:r>
      </w:p>
    </w:sdtContent>
  </w:sdt>
  <w:p w14:paraId="222F7AC0" w14:textId="77777777" w:rsidR="00083851" w:rsidRDefault="000838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62AD1" w14:textId="77777777" w:rsidR="002B0FDC" w:rsidRDefault="002B0FDC" w:rsidP="00F50FBC">
      <w:pPr>
        <w:spacing w:after="0" w:line="240" w:lineRule="auto"/>
      </w:pPr>
      <w:r>
        <w:separator/>
      </w:r>
    </w:p>
  </w:footnote>
  <w:footnote w:type="continuationSeparator" w:id="0">
    <w:p w14:paraId="69F62AD2" w14:textId="77777777" w:rsidR="002B0FDC" w:rsidRDefault="002B0FDC" w:rsidP="00F50F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2560D" w14:textId="0D62A8A6" w:rsidR="00083851" w:rsidRPr="00083851" w:rsidRDefault="00083851" w:rsidP="00083851">
    <w:pPr>
      <w:spacing w:after="140" w:line="240" w:lineRule="auto"/>
      <w:jc w:val="center"/>
      <w:rPr>
        <w:rFonts w:eastAsia="Calibri" w:cs="Times New Roman"/>
        <w:sz w:val="20"/>
        <w:szCs w:val="20"/>
        <w:lang w:eastAsia="en-AU"/>
      </w:rPr>
    </w:pPr>
    <w:r w:rsidRPr="00083851">
      <w:rPr>
        <w:rFonts w:eastAsia="Calibri" w:cs="Times New Roman"/>
        <w:sz w:val="20"/>
        <w:szCs w:val="20"/>
        <w:lang w:eastAsia="en-AU"/>
      </w:rPr>
      <w:t>Are network planning guidelines based on equal access equitable?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D581E" w14:textId="77777777" w:rsidR="00083851" w:rsidRPr="00F5019A" w:rsidRDefault="00083851" w:rsidP="00083851">
    <w:pPr>
      <w:pStyle w:val="Headerstyle"/>
    </w:pPr>
    <w:r w:rsidRPr="00F5019A">
      <w:t>Australasian Transport Research Forum 201</w:t>
    </w:r>
    <w:r>
      <w:t>5</w:t>
    </w:r>
    <w:r w:rsidRPr="00F5019A">
      <w:t xml:space="preserve"> Proceedings</w:t>
    </w:r>
  </w:p>
  <w:p w14:paraId="174A335E" w14:textId="77777777" w:rsidR="00083851" w:rsidRPr="00F5019A" w:rsidRDefault="00083851" w:rsidP="00083851">
    <w:pPr>
      <w:pStyle w:val="Headerstyle"/>
    </w:pPr>
    <w:r>
      <w:t>30 September - 2</w:t>
    </w:r>
    <w:r w:rsidRPr="00F5019A">
      <w:t xml:space="preserve"> </w:t>
    </w:r>
    <w:r>
      <w:t>Octo</w:t>
    </w:r>
    <w:r w:rsidRPr="00F5019A">
      <w:t>ber 201</w:t>
    </w:r>
    <w:r>
      <w:t>5</w:t>
    </w:r>
    <w:r w:rsidRPr="00F5019A">
      <w:t xml:space="preserve">, </w:t>
    </w:r>
    <w:r>
      <w:t>Sydney</w:t>
    </w:r>
    <w:r w:rsidRPr="00F5019A">
      <w:t>, Australia</w:t>
    </w:r>
  </w:p>
  <w:p w14:paraId="044CCDD7" w14:textId="0EFA5522" w:rsidR="00083851" w:rsidRDefault="00083851" w:rsidP="00083851">
    <w:pPr>
      <w:pStyle w:val="Headerstyle"/>
    </w:pPr>
    <w:r w:rsidRPr="007B57FB">
      <w:t>Publication website: http://www.atrf.info/papers/index.aspx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84763"/>
    <w:multiLevelType w:val="hybridMultilevel"/>
    <w:tmpl w:val="3AB822B6"/>
    <w:lvl w:ilvl="0" w:tplc="C1E2B4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15751D"/>
    <w:multiLevelType w:val="multilevel"/>
    <w:tmpl w:val="324A9F22"/>
    <w:lvl w:ilvl="0">
      <w:start w:val="1"/>
      <w:numFmt w:val="decimal"/>
      <w:pStyle w:val="Heading1"/>
      <w:lvlText w:val="%1."/>
      <w:lvlJc w:val="left"/>
      <w:pPr>
        <w:ind w:left="1920" w:hanging="360"/>
      </w:pPr>
      <w:rPr>
        <w:rFonts w:hint="default"/>
      </w:rPr>
    </w:lvl>
    <w:lvl w:ilvl="1">
      <w:start w:val="1"/>
      <w:numFmt w:val="decimal"/>
      <w:isLgl/>
      <w:lvlText w:val="%1.%2"/>
      <w:lvlJc w:val="left"/>
      <w:pPr>
        <w:ind w:left="1965" w:hanging="405"/>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2" w15:restartNumberingAfterBreak="0">
    <w:nsid w:val="16EE6C0F"/>
    <w:multiLevelType w:val="hybridMultilevel"/>
    <w:tmpl w:val="D7D0EA6A"/>
    <w:lvl w:ilvl="0" w:tplc="C1E2B4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193E1B"/>
    <w:multiLevelType w:val="hybridMultilevel"/>
    <w:tmpl w:val="2CFE65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F27AE3"/>
    <w:multiLevelType w:val="hybridMultilevel"/>
    <w:tmpl w:val="5DD67296"/>
    <w:lvl w:ilvl="0" w:tplc="C1E2B418">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2DD91A41"/>
    <w:multiLevelType w:val="hybridMultilevel"/>
    <w:tmpl w:val="FAAC6528"/>
    <w:lvl w:ilvl="0" w:tplc="F2C283AC">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3FA71BDC"/>
    <w:multiLevelType w:val="hybridMultilevel"/>
    <w:tmpl w:val="3AB822B6"/>
    <w:lvl w:ilvl="0" w:tplc="C1E2B4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8F61C3B"/>
    <w:multiLevelType w:val="hybridMultilevel"/>
    <w:tmpl w:val="735C01AA"/>
    <w:lvl w:ilvl="0" w:tplc="C1E2B41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FED5BFC"/>
    <w:multiLevelType w:val="hybridMultilevel"/>
    <w:tmpl w:val="653C2ECE"/>
    <w:lvl w:ilvl="0" w:tplc="25627FE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76074F1"/>
    <w:multiLevelType w:val="hybridMultilevel"/>
    <w:tmpl w:val="D4287C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4"/>
  </w:num>
  <w:num w:numId="4">
    <w:abstractNumId w:val="0"/>
  </w:num>
  <w:num w:numId="5">
    <w:abstractNumId w:val="2"/>
  </w:num>
  <w:num w:numId="6">
    <w:abstractNumId w:val="5"/>
  </w:num>
  <w:num w:numId="7">
    <w:abstractNumId w:val="9"/>
  </w:num>
  <w:num w:numId="8">
    <w:abstractNumId w:val="6"/>
  </w:num>
  <w:num w:numId="9">
    <w:abstractNumId w:val="1"/>
  </w:num>
  <w:num w:numId="10">
    <w:abstractNumId w:val="1"/>
  </w:num>
  <w:num w:numId="11">
    <w:abstractNumId w:val="1"/>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64E"/>
    <w:rsid w:val="00034DA1"/>
    <w:rsid w:val="000646AC"/>
    <w:rsid w:val="00073250"/>
    <w:rsid w:val="0007621F"/>
    <w:rsid w:val="00083851"/>
    <w:rsid w:val="00091FE8"/>
    <w:rsid w:val="000F3FB3"/>
    <w:rsid w:val="000F51B5"/>
    <w:rsid w:val="001017B7"/>
    <w:rsid w:val="00103725"/>
    <w:rsid w:val="00111DC3"/>
    <w:rsid w:val="0011549B"/>
    <w:rsid w:val="00125355"/>
    <w:rsid w:val="0017456C"/>
    <w:rsid w:val="00181C01"/>
    <w:rsid w:val="00193281"/>
    <w:rsid w:val="001A309F"/>
    <w:rsid w:val="001B0DED"/>
    <w:rsid w:val="001C0B7D"/>
    <w:rsid w:val="001D3CD9"/>
    <w:rsid w:val="001D72A5"/>
    <w:rsid w:val="001E76A9"/>
    <w:rsid w:val="002365CD"/>
    <w:rsid w:val="00242560"/>
    <w:rsid w:val="002478A2"/>
    <w:rsid w:val="00256060"/>
    <w:rsid w:val="002617CC"/>
    <w:rsid w:val="00295FFD"/>
    <w:rsid w:val="002963C5"/>
    <w:rsid w:val="002B0FDC"/>
    <w:rsid w:val="002B3338"/>
    <w:rsid w:val="002B4BB0"/>
    <w:rsid w:val="002C3710"/>
    <w:rsid w:val="002F00DC"/>
    <w:rsid w:val="002F474F"/>
    <w:rsid w:val="002F4B4B"/>
    <w:rsid w:val="003073CD"/>
    <w:rsid w:val="00316C68"/>
    <w:rsid w:val="00382A2A"/>
    <w:rsid w:val="003918BD"/>
    <w:rsid w:val="003B112D"/>
    <w:rsid w:val="003B2BD1"/>
    <w:rsid w:val="00433B14"/>
    <w:rsid w:val="00435775"/>
    <w:rsid w:val="004363D6"/>
    <w:rsid w:val="004608D5"/>
    <w:rsid w:val="00485051"/>
    <w:rsid w:val="004900F0"/>
    <w:rsid w:val="004B2386"/>
    <w:rsid w:val="004F0902"/>
    <w:rsid w:val="004F498F"/>
    <w:rsid w:val="004F68D5"/>
    <w:rsid w:val="00506BE4"/>
    <w:rsid w:val="00522DC9"/>
    <w:rsid w:val="00533D7E"/>
    <w:rsid w:val="005A7E23"/>
    <w:rsid w:val="006006D5"/>
    <w:rsid w:val="006552DB"/>
    <w:rsid w:val="006705A4"/>
    <w:rsid w:val="00670F86"/>
    <w:rsid w:val="00672367"/>
    <w:rsid w:val="00676628"/>
    <w:rsid w:val="006912AA"/>
    <w:rsid w:val="006944ED"/>
    <w:rsid w:val="006A04B4"/>
    <w:rsid w:val="006B545B"/>
    <w:rsid w:val="006C40B9"/>
    <w:rsid w:val="006E654C"/>
    <w:rsid w:val="006F1473"/>
    <w:rsid w:val="007044B9"/>
    <w:rsid w:val="0071466A"/>
    <w:rsid w:val="00720854"/>
    <w:rsid w:val="00725ED9"/>
    <w:rsid w:val="007262FD"/>
    <w:rsid w:val="0075658B"/>
    <w:rsid w:val="00770C42"/>
    <w:rsid w:val="007721F5"/>
    <w:rsid w:val="00786012"/>
    <w:rsid w:val="0078782B"/>
    <w:rsid w:val="007A7C67"/>
    <w:rsid w:val="007B24DB"/>
    <w:rsid w:val="007C1999"/>
    <w:rsid w:val="007C5213"/>
    <w:rsid w:val="007E1516"/>
    <w:rsid w:val="007E3494"/>
    <w:rsid w:val="007E6A63"/>
    <w:rsid w:val="007E7B93"/>
    <w:rsid w:val="007F4EA3"/>
    <w:rsid w:val="008077FF"/>
    <w:rsid w:val="0081251E"/>
    <w:rsid w:val="0083372F"/>
    <w:rsid w:val="0084520A"/>
    <w:rsid w:val="00857609"/>
    <w:rsid w:val="00870702"/>
    <w:rsid w:val="008846E0"/>
    <w:rsid w:val="00892137"/>
    <w:rsid w:val="008B2F97"/>
    <w:rsid w:val="008B7C75"/>
    <w:rsid w:val="008C0E6A"/>
    <w:rsid w:val="008D4F85"/>
    <w:rsid w:val="008F3AB3"/>
    <w:rsid w:val="008F59DA"/>
    <w:rsid w:val="00920422"/>
    <w:rsid w:val="00956A88"/>
    <w:rsid w:val="00961CBB"/>
    <w:rsid w:val="009677C9"/>
    <w:rsid w:val="00997513"/>
    <w:rsid w:val="00997681"/>
    <w:rsid w:val="00997DF8"/>
    <w:rsid w:val="009A4E43"/>
    <w:rsid w:val="009B2079"/>
    <w:rsid w:val="009B584E"/>
    <w:rsid w:val="009C61F3"/>
    <w:rsid w:val="00A00012"/>
    <w:rsid w:val="00A12749"/>
    <w:rsid w:val="00A149BC"/>
    <w:rsid w:val="00A20EB6"/>
    <w:rsid w:val="00A35C39"/>
    <w:rsid w:val="00A84ACA"/>
    <w:rsid w:val="00A9215A"/>
    <w:rsid w:val="00A96F04"/>
    <w:rsid w:val="00AA52CB"/>
    <w:rsid w:val="00AE7997"/>
    <w:rsid w:val="00AF2F72"/>
    <w:rsid w:val="00AF4FB3"/>
    <w:rsid w:val="00B01D0A"/>
    <w:rsid w:val="00B023EC"/>
    <w:rsid w:val="00B14CDE"/>
    <w:rsid w:val="00B20A70"/>
    <w:rsid w:val="00B73B8E"/>
    <w:rsid w:val="00B82544"/>
    <w:rsid w:val="00B8264E"/>
    <w:rsid w:val="00BA3DF1"/>
    <w:rsid w:val="00BC382C"/>
    <w:rsid w:val="00BC4BAC"/>
    <w:rsid w:val="00BD00B2"/>
    <w:rsid w:val="00BE6FA0"/>
    <w:rsid w:val="00BF36A6"/>
    <w:rsid w:val="00C13020"/>
    <w:rsid w:val="00C14418"/>
    <w:rsid w:val="00C15865"/>
    <w:rsid w:val="00C4113E"/>
    <w:rsid w:val="00C53117"/>
    <w:rsid w:val="00C63B63"/>
    <w:rsid w:val="00C77FD7"/>
    <w:rsid w:val="00C83040"/>
    <w:rsid w:val="00CA18A1"/>
    <w:rsid w:val="00CA7BF7"/>
    <w:rsid w:val="00D02D92"/>
    <w:rsid w:val="00D10677"/>
    <w:rsid w:val="00D21F63"/>
    <w:rsid w:val="00D26D09"/>
    <w:rsid w:val="00D50D5F"/>
    <w:rsid w:val="00D6194A"/>
    <w:rsid w:val="00D63919"/>
    <w:rsid w:val="00D66313"/>
    <w:rsid w:val="00D87F06"/>
    <w:rsid w:val="00DA0035"/>
    <w:rsid w:val="00DB284A"/>
    <w:rsid w:val="00DB63A4"/>
    <w:rsid w:val="00DC5350"/>
    <w:rsid w:val="00DD0225"/>
    <w:rsid w:val="00DD4716"/>
    <w:rsid w:val="00DE3590"/>
    <w:rsid w:val="00DE4D76"/>
    <w:rsid w:val="00DE7733"/>
    <w:rsid w:val="00DF248E"/>
    <w:rsid w:val="00DF6FE7"/>
    <w:rsid w:val="00E30D33"/>
    <w:rsid w:val="00E33AFF"/>
    <w:rsid w:val="00E43B1E"/>
    <w:rsid w:val="00E71B1A"/>
    <w:rsid w:val="00E81006"/>
    <w:rsid w:val="00E933A3"/>
    <w:rsid w:val="00EB23F1"/>
    <w:rsid w:val="00EC5065"/>
    <w:rsid w:val="00EF2F96"/>
    <w:rsid w:val="00F04F2A"/>
    <w:rsid w:val="00F10FAA"/>
    <w:rsid w:val="00F16118"/>
    <w:rsid w:val="00F3369C"/>
    <w:rsid w:val="00F50FBC"/>
    <w:rsid w:val="00F566D9"/>
    <w:rsid w:val="00F74C11"/>
    <w:rsid w:val="00F83CCA"/>
    <w:rsid w:val="00FB1530"/>
    <w:rsid w:val="00FC0BE4"/>
    <w:rsid w:val="00FC7A98"/>
    <w:rsid w:val="00FF2A0B"/>
    <w:rsid w:val="00FF33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9F6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C67"/>
    <w:rPr>
      <w:rFonts w:ascii="Arial" w:hAnsi="Arial"/>
    </w:rPr>
  </w:style>
  <w:style w:type="paragraph" w:styleId="Heading1">
    <w:name w:val="heading 1"/>
    <w:basedOn w:val="Normal"/>
    <w:next w:val="Normal"/>
    <w:link w:val="Heading1Char"/>
    <w:uiPriority w:val="9"/>
    <w:qFormat/>
    <w:rsid w:val="00AE7997"/>
    <w:pPr>
      <w:keepNext/>
      <w:keepLines/>
      <w:numPr>
        <w:numId w:val="9"/>
      </w:numPr>
      <w:spacing w:before="240" w:after="120"/>
      <w:ind w:left="284" w:hanging="284"/>
      <w:outlineLvl w:val="0"/>
    </w:pPr>
    <w:rPr>
      <w:rFonts w:ascii="Helvetica" w:eastAsia="Times New Roman" w:hAnsi="Helvetica" w:cs="Times New Roman"/>
      <w:b/>
      <w:color w:val="000000"/>
      <w:sz w:val="28"/>
      <w:szCs w:val="28"/>
      <w:lang w:val="en-US"/>
    </w:rPr>
  </w:style>
  <w:style w:type="paragraph" w:styleId="Heading2">
    <w:name w:val="heading 2"/>
    <w:basedOn w:val="Normal"/>
    <w:next w:val="Normal"/>
    <w:link w:val="Heading2Char"/>
    <w:uiPriority w:val="9"/>
    <w:unhideWhenUsed/>
    <w:qFormat/>
    <w:rsid w:val="00FF3324"/>
    <w:pPr>
      <w:outlineLvl w:val="1"/>
    </w:pPr>
    <w:rPr>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uiPriority w:val="99"/>
    <w:rsid w:val="00B8264E"/>
    <w:pPr>
      <w:spacing w:after="0" w:line="240" w:lineRule="auto"/>
    </w:pPr>
    <w:rPr>
      <w:rFonts w:ascii="Helvetica" w:eastAsia="Times New Roman" w:hAnsi="Helvetica" w:cs="Times New Roman"/>
      <w:color w:val="000000"/>
      <w:sz w:val="24"/>
      <w:szCs w:val="20"/>
      <w:lang w:val="en-US"/>
    </w:rPr>
  </w:style>
  <w:style w:type="paragraph" w:styleId="BalloonText">
    <w:name w:val="Balloon Text"/>
    <w:basedOn w:val="Normal"/>
    <w:link w:val="BalloonTextChar"/>
    <w:uiPriority w:val="99"/>
    <w:semiHidden/>
    <w:unhideWhenUsed/>
    <w:rsid w:val="00B8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64E"/>
    <w:rPr>
      <w:rFonts w:ascii="Tahoma" w:hAnsi="Tahoma" w:cs="Tahoma"/>
      <w:sz w:val="16"/>
      <w:szCs w:val="16"/>
    </w:rPr>
  </w:style>
  <w:style w:type="paragraph" w:customStyle="1" w:styleId="AuthorName">
    <w:name w:val="Author Name"/>
    <w:basedOn w:val="Normal"/>
    <w:next w:val="AuthorAddress"/>
    <w:link w:val="AuthorNameChar"/>
    <w:qFormat/>
    <w:rsid w:val="00770C42"/>
    <w:pPr>
      <w:spacing w:after="140" w:line="240" w:lineRule="auto"/>
      <w:jc w:val="center"/>
    </w:pPr>
    <w:rPr>
      <w:rFonts w:eastAsia="Calibri" w:cs="Times New Roman"/>
      <w:szCs w:val="24"/>
      <w:lang w:eastAsia="en-AU"/>
    </w:rPr>
  </w:style>
  <w:style w:type="character" w:customStyle="1" w:styleId="AuthorNameChar">
    <w:name w:val="Author Name Char"/>
    <w:basedOn w:val="DefaultParagraphFont"/>
    <w:link w:val="AuthorName"/>
    <w:rsid w:val="00770C42"/>
    <w:rPr>
      <w:rFonts w:ascii="Arial" w:eastAsia="Calibri" w:hAnsi="Arial" w:cs="Times New Roman"/>
      <w:szCs w:val="24"/>
      <w:lang w:eastAsia="en-AU"/>
    </w:rPr>
  </w:style>
  <w:style w:type="paragraph" w:customStyle="1" w:styleId="AuthorAddress">
    <w:name w:val="Author Address"/>
    <w:basedOn w:val="Normal"/>
    <w:link w:val="AuthorAddressChar"/>
    <w:qFormat/>
    <w:rsid w:val="00770C42"/>
    <w:pPr>
      <w:spacing w:after="140" w:line="240" w:lineRule="auto"/>
      <w:jc w:val="center"/>
    </w:pPr>
    <w:rPr>
      <w:rFonts w:eastAsia="Calibri" w:cs="Times New Roman"/>
      <w:sz w:val="20"/>
      <w:szCs w:val="20"/>
      <w:lang w:eastAsia="en-AU"/>
    </w:rPr>
  </w:style>
  <w:style w:type="character" w:customStyle="1" w:styleId="AuthorAddressChar">
    <w:name w:val="Author Address Char"/>
    <w:basedOn w:val="DefaultParagraphFont"/>
    <w:link w:val="AuthorAddress"/>
    <w:rsid w:val="00770C42"/>
    <w:rPr>
      <w:rFonts w:ascii="Arial" w:eastAsia="Calibri" w:hAnsi="Arial" w:cs="Times New Roman"/>
      <w:sz w:val="20"/>
      <w:szCs w:val="20"/>
      <w:lang w:eastAsia="en-AU"/>
    </w:rPr>
  </w:style>
  <w:style w:type="paragraph" w:customStyle="1" w:styleId="AbstractTitle">
    <w:name w:val="Abstract Title"/>
    <w:basedOn w:val="Normal"/>
    <w:next w:val="Normal"/>
    <w:link w:val="AbstractTitleChar"/>
    <w:qFormat/>
    <w:rsid w:val="00770C42"/>
    <w:pPr>
      <w:spacing w:before="240" w:after="140" w:line="240" w:lineRule="auto"/>
      <w:jc w:val="center"/>
    </w:pPr>
    <w:rPr>
      <w:rFonts w:eastAsia="Calibri" w:cs="Times New Roman"/>
      <w:b/>
      <w:sz w:val="28"/>
      <w:szCs w:val="28"/>
      <w:lang w:eastAsia="en-AU"/>
    </w:rPr>
  </w:style>
  <w:style w:type="character" w:customStyle="1" w:styleId="AbstractTitleChar">
    <w:name w:val="Abstract Title Char"/>
    <w:basedOn w:val="DefaultParagraphFont"/>
    <w:link w:val="AbstractTitle"/>
    <w:rsid w:val="00770C42"/>
    <w:rPr>
      <w:rFonts w:ascii="Arial" w:eastAsia="Calibri" w:hAnsi="Arial" w:cs="Times New Roman"/>
      <w:b/>
      <w:sz w:val="28"/>
      <w:szCs w:val="28"/>
      <w:lang w:eastAsia="en-AU"/>
    </w:rPr>
  </w:style>
  <w:style w:type="paragraph" w:styleId="ListParagraph">
    <w:name w:val="List Paragraph"/>
    <w:basedOn w:val="Normal"/>
    <w:uiPriority w:val="34"/>
    <w:qFormat/>
    <w:rsid w:val="00B82544"/>
    <w:pPr>
      <w:ind w:left="720"/>
      <w:contextualSpacing/>
    </w:pPr>
  </w:style>
  <w:style w:type="character" w:customStyle="1" w:styleId="Heading1Char">
    <w:name w:val="Heading 1 Char"/>
    <w:basedOn w:val="DefaultParagraphFont"/>
    <w:link w:val="Heading1"/>
    <w:uiPriority w:val="9"/>
    <w:rsid w:val="00AE7997"/>
    <w:rPr>
      <w:rFonts w:ascii="Helvetica" w:eastAsia="Times New Roman" w:hAnsi="Helvetica" w:cs="Times New Roman"/>
      <w:b/>
      <w:color w:val="000000"/>
      <w:sz w:val="28"/>
      <w:szCs w:val="28"/>
      <w:lang w:val="en-US"/>
    </w:rPr>
  </w:style>
  <w:style w:type="character" w:styleId="CommentReference">
    <w:name w:val="annotation reference"/>
    <w:basedOn w:val="DefaultParagraphFont"/>
    <w:uiPriority w:val="99"/>
    <w:semiHidden/>
    <w:unhideWhenUsed/>
    <w:rsid w:val="00F83CCA"/>
    <w:rPr>
      <w:sz w:val="16"/>
      <w:szCs w:val="16"/>
    </w:rPr>
  </w:style>
  <w:style w:type="paragraph" w:styleId="CommentText">
    <w:name w:val="annotation text"/>
    <w:basedOn w:val="Normal"/>
    <w:link w:val="CommentTextChar"/>
    <w:uiPriority w:val="99"/>
    <w:semiHidden/>
    <w:unhideWhenUsed/>
    <w:rsid w:val="00F83CCA"/>
    <w:pPr>
      <w:spacing w:line="240" w:lineRule="auto"/>
    </w:pPr>
    <w:rPr>
      <w:sz w:val="20"/>
      <w:szCs w:val="20"/>
    </w:rPr>
  </w:style>
  <w:style w:type="character" w:customStyle="1" w:styleId="CommentTextChar">
    <w:name w:val="Comment Text Char"/>
    <w:basedOn w:val="DefaultParagraphFont"/>
    <w:link w:val="CommentText"/>
    <w:uiPriority w:val="99"/>
    <w:semiHidden/>
    <w:rsid w:val="00F83CCA"/>
    <w:rPr>
      <w:sz w:val="20"/>
      <w:szCs w:val="20"/>
    </w:rPr>
  </w:style>
  <w:style w:type="paragraph" w:styleId="CommentSubject">
    <w:name w:val="annotation subject"/>
    <w:basedOn w:val="CommentText"/>
    <w:next w:val="CommentText"/>
    <w:link w:val="CommentSubjectChar"/>
    <w:uiPriority w:val="99"/>
    <w:semiHidden/>
    <w:unhideWhenUsed/>
    <w:rsid w:val="00F83CCA"/>
    <w:rPr>
      <w:b/>
      <w:bCs/>
    </w:rPr>
  </w:style>
  <w:style w:type="character" w:customStyle="1" w:styleId="CommentSubjectChar">
    <w:name w:val="Comment Subject Char"/>
    <w:basedOn w:val="CommentTextChar"/>
    <w:link w:val="CommentSubject"/>
    <w:uiPriority w:val="99"/>
    <w:semiHidden/>
    <w:rsid w:val="00F83CCA"/>
    <w:rPr>
      <w:b/>
      <w:bCs/>
      <w:sz w:val="20"/>
      <w:szCs w:val="20"/>
    </w:rPr>
  </w:style>
  <w:style w:type="character" w:styleId="PlaceholderText">
    <w:name w:val="Placeholder Text"/>
    <w:basedOn w:val="DefaultParagraphFont"/>
    <w:uiPriority w:val="99"/>
    <w:semiHidden/>
    <w:rsid w:val="00C15865"/>
    <w:rPr>
      <w:color w:val="808080"/>
    </w:rPr>
  </w:style>
  <w:style w:type="character" w:styleId="Hyperlink">
    <w:name w:val="Hyperlink"/>
    <w:basedOn w:val="DefaultParagraphFont"/>
    <w:uiPriority w:val="99"/>
    <w:unhideWhenUsed/>
    <w:rsid w:val="00A20EB6"/>
    <w:rPr>
      <w:color w:val="0000FF" w:themeColor="hyperlink"/>
      <w:u w:val="single"/>
    </w:rPr>
  </w:style>
  <w:style w:type="character" w:customStyle="1" w:styleId="Heading2Char">
    <w:name w:val="Heading 2 Char"/>
    <w:basedOn w:val="DefaultParagraphFont"/>
    <w:link w:val="Heading2"/>
    <w:uiPriority w:val="9"/>
    <w:rsid w:val="00FF3324"/>
    <w:rPr>
      <w:rFonts w:ascii="Arial" w:hAnsi="Arial"/>
      <w:b/>
      <w:sz w:val="24"/>
      <w:szCs w:val="24"/>
      <w:lang w:val="en-US"/>
    </w:rPr>
  </w:style>
  <w:style w:type="paragraph" w:customStyle="1" w:styleId="Captionstyle">
    <w:name w:val="Caption style"/>
    <w:basedOn w:val="Normal"/>
    <w:link w:val="CaptionstyleChar"/>
    <w:qFormat/>
    <w:rsid w:val="00FF3324"/>
    <w:pPr>
      <w:spacing w:after="140" w:line="240" w:lineRule="auto"/>
    </w:pPr>
    <w:rPr>
      <w:rFonts w:eastAsia="Calibri" w:cs="Times New Roman"/>
      <w:b/>
      <w:sz w:val="20"/>
      <w:szCs w:val="20"/>
      <w:lang w:eastAsia="en-AU"/>
    </w:rPr>
  </w:style>
  <w:style w:type="character" w:customStyle="1" w:styleId="CaptionstyleChar">
    <w:name w:val="Caption style Char"/>
    <w:link w:val="Captionstyle"/>
    <w:rsid w:val="00FF3324"/>
    <w:rPr>
      <w:rFonts w:ascii="Arial" w:eastAsia="Calibri" w:hAnsi="Arial" w:cs="Times New Roman"/>
      <w:b/>
      <w:sz w:val="20"/>
      <w:szCs w:val="20"/>
      <w:lang w:eastAsia="en-AU"/>
    </w:rPr>
  </w:style>
  <w:style w:type="paragraph" w:customStyle="1" w:styleId="Caption1">
    <w:name w:val="Caption1"/>
    <w:basedOn w:val="Captionstyle"/>
    <w:link w:val="captionChar"/>
    <w:qFormat/>
    <w:rsid w:val="00A12749"/>
  </w:style>
  <w:style w:type="character" w:customStyle="1" w:styleId="captionChar">
    <w:name w:val="caption Char"/>
    <w:basedOn w:val="CaptionstyleChar"/>
    <w:link w:val="Caption1"/>
    <w:rsid w:val="00A12749"/>
    <w:rPr>
      <w:rFonts w:ascii="Arial" w:eastAsia="Calibri" w:hAnsi="Arial" w:cs="Times New Roman"/>
      <w:b/>
      <w:sz w:val="20"/>
      <w:szCs w:val="20"/>
      <w:lang w:eastAsia="en-AU"/>
    </w:rPr>
  </w:style>
  <w:style w:type="paragraph" w:styleId="Revision">
    <w:name w:val="Revision"/>
    <w:hidden/>
    <w:uiPriority w:val="99"/>
    <w:semiHidden/>
    <w:rsid w:val="006A04B4"/>
    <w:pPr>
      <w:spacing w:after="0" w:line="240" w:lineRule="auto"/>
    </w:pPr>
    <w:rPr>
      <w:rFonts w:ascii="Arial" w:hAnsi="Arial"/>
    </w:rPr>
  </w:style>
  <w:style w:type="paragraph" w:styleId="HTMLPreformatted">
    <w:name w:val="HTML Preformatted"/>
    <w:basedOn w:val="Normal"/>
    <w:link w:val="HTMLPreformattedChar"/>
    <w:uiPriority w:val="99"/>
    <w:semiHidden/>
    <w:unhideWhenUsed/>
    <w:rsid w:val="0069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6912AA"/>
    <w:rPr>
      <w:rFonts w:ascii="Courier New" w:eastAsia="Times New Roman" w:hAnsi="Courier New" w:cs="Courier New"/>
      <w:sz w:val="20"/>
      <w:szCs w:val="20"/>
      <w:lang w:eastAsia="en-AU"/>
    </w:rPr>
  </w:style>
  <w:style w:type="character" w:styleId="FollowedHyperlink">
    <w:name w:val="FollowedHyperlink"/>
    <w:basedOn w:val="DefaultParagraphFont"/>
    <w:uiPriority w:val="99"/>
    <w:semiHidden/>
    <w:unhideWhenUsed/>
    <w:rsid w:val="008C0E6A"/>
    <w:rPr>
      <w:color w:val="800080" w:themeColor="followedHyperlink"/>
      <w:u w:val="single"/>
    </w:rPr>
  </w:style>
  <w:style w:type="paragraph" w:styleId="Header">
    <w:name w:val="header"/>
    <w:basedOn w:val="Normal"/>
    <w:link w:val="HeaderChar"/>
    <w:uiPriority w:val="99"/>
    <w:unhideWhenUsed/>
    <w:rsid w:val="00F50F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FBC"/>
    <w:rPr>
      <w:rFonts w:ascii="Arial" w:hAnsi="Arial"/>
    </w:rPr>
  </w:style>
  <w:style w:type="paragraph" w:styleId="Footer">
    <w:name w:val="footer"/>
    <w:basedOn w:val="Normal"/>
    <w:link w:val="FooterChar"/>
    <w:uiPriority w:val="99"/>
    <w:unhideWhenUsed/>
    <w:rsid w:val="00F50F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FBC"/>
    <w:rPr>
      <w:rFonts w:ascii="Arial" w:hAnsi="Arial"/>
    </w:rPr>
  </w:style>
  <w:style w:type="paragraph" w:styleId="FootnoteText">
    <w:name w:val="footnote text"/>
    <w:basedOn w:val="Normal"/>
    <w:link w:val="FootnoteTextChar"/>
    <w:uiPriority w:val="99"/>
    <w:semiHidden/>
    <w:unhideWhenUsed/>
    <w:rsid w:val="000F51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51B5"/>
    <w:rPr>
      <w:rFonts w:ascii="Arial" w:hAnsi="Arial"/>
      <w:sz w:val="20"/>
      <w:szCs w:val="20"/>
    </w:rPr>
  </w:style>
  <w:style w:type="character" w:styleId="FootnoteReference">
    <w:name w:val="footnote reference"/>
    <w:basedOn w:val="DefaultParagraphFont"/>
    <w:uiPriority w:val="99"/>
    <w:semiHidden/>
    <w:unhideWhenUsed/>
    <w:rsid w:val="000F51B5"/>
    <w:rPr>
      <w:vertAlign w:val="superscript"/>
    </w:rPr>
  </w:style>
  <w:style w:type="paragraph" w:customStyle="1" w:styleId="Headerstyle">
    <w:name w:val="Header style"/>
    <w:basedOn w:val="Header"/>
    <w:link w:val="HeaderstyleChar"/>
    <w:qFormat/>
    <w:rsid w:val="00083851"/>
    <w:pPr>
      <w:jc w:val="center"/>
    </w:pPr>
    <w:rPr>
      <w:rFonts w:eastAsia="Calibri" w:cs="Times New Roman"/>
      <w:sz w:val="20"/>
      <w:szCs w:val="20"/>
      <w:lang w:eastAsia="en-AU"/>
    </w:rPr>
  </w:style>
  <w:style w:type="character" w:customStyle="1" w:styleId="HeaderstyleChar">
    <w:name w:val="Header style Char"/>
    <w:basedOn w:val="HeaderChar"/>
    <w:link w:val="Headerstyle"/>
    <w:rsid w:val="00083851"/>
    <w:rPr>
      <w:rFonts w:ascii="Arial" w:eastAsia="Calibri"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809716">
      <w:bodyDiv w:val="1"/>
      <w:marLeft w:val="0"/>
      <w:marRight w:val="0"/>
      <w:marTop w:val="0"/>
      <w:marBottom w:val="0"/>
      <w:divBdr>
        <w:top w:val="none" w:sz="0" w:space="0" w:color="auto"/>
        <w:left w:val="none" w:sz="0" w:space="0" w:color="auto"/>
        <w:bottom w:val="none" w:sz="0" w:space="0" w:color="auto"/>
        <w:right w:val="none" w:sz="0" w:space="0" w:color="auto"/>
      </w:divBdr>
    </w:div>
    <w:div w:id="239489114">
      <w:bodyDiv w:val="1"/>
      <w:marLeft w:val="0"/>
      <w:marRight w:val="0"/>
      <w:marTop w:val="0"/>
      <w:marBottom w:val="0"/>
      <w:divBdr>
        <w:top w:val="none" w:sz="0" w:space="0" w:color="auto"/>
        <w:left w:val="none" w:sz="0" w:space="0" w:color="auto"/>
        <w:bottom w:val="none" w:sz="0" w:space="0" w:color="auto"/>
        <w:right w:val="none" w:sz="0" w:space="0" w:color="auto"/>
      </w:divBdr>
    </w:div>
    <w:div w:id="554396272">
      <w:bodyDiv w:val="1"/>
      <w:marLeft w:val="0"/>
      <w:marRight w:val="0"/>
      <w:marTop w:val="0"/>
      <w:marBottom w:val="0"/>
      <w:divBdr>
        <w:top w:val="none" w:sz="0" w:space="0" w:color="auto"/>
        <w:left w:val="none" w:sz="0" w:space="0" w:color="auto"/>
        <w:bottom w:val="none" w:sz="0" w:space="0" w:color="auto"/>
        <w:right w:val="none" w:sz="0" w:space="0" w:color="auto"/>
      </w:divBdr>
    </w:div>
    <w:div w:id="858201403">
      <w:bodyDiv w:val="1"/>
      <w:marLeft w:val="0"/>
      <w:marRight w:val="0"/>
      <w:marTop w:val="0"/>
      <w:marBottom w:val="0"/>
      <w:divBdr>
        <w:top w:val="none" w:sz="0" w:space="0" w:color="auto"/>
        <w:left w:val="none" w:sz="0" w:space="0" w:color="auto"/>
        <w:bottom w:val="none" w:sz="0" w:space="0" w:color="auto"/>
        <w:right w:val="none" w:sz="0" w:space="0" w:color="auto"/>
      </w:divBdr>
    </w:div>
    <w:div w:id="1063943452">
      <w:bodyDiv w:val="1"/>
      <w:marLeft w:val="0"/>
      <w:marRight w:val="0"/>
      <w:marTop w:val="0"/>
      <w:marBottom w:val="0"/>
      <w:divBdr>
        <w:top w:val="none" w:sz="0" w:space="0" w:color="auto"/>
        <w:left w:val="none" w:sz="0" w:space="0" w:color="auto"/>
        <w:bottom w:val="none" w:sz="0" w:space="0" w:color="auto"/>
        <w:right w:val="none" w:sz="0" w:space="0" w:color="auto"/>
      </w:divBdr>
    </w:div>
    <w:div w:id="161555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eb.mta.info/mta/planning/sbs/whatis.htm" TargetMode="Externa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7A7D8-299D-4C23-A27E-61D8CFFED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6220</Words>
  <Characters>35456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2015-08-27T04:01:00Z</dcterms:created>
  <dcterms:modified xsi:type="dcterms:W3CDTF">2015-09-17T00:04:00Z</dcterms:modified>
</cp:coreProperties>
</file>