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3A8C70" w14:textId="77777777" w:rsidR="00196540" w:rsidRDefault="00196540">
      <w:pPr>
        <w:pStyle w:val="PublicationTitle"/>
        <w:rPr>
          <w:rFonts w:eastAsia="Arial Unicode MS" w:hAnsi="Arial Unicode MS" w:cs="Arial Unicode MS"/>
        </w:rPr>
      </w:pPr>
    </w:p>
    <w:p w14:paraId="50A09D10" w14:textId="77777777" w:rsidR="007753F2" w:rsidRDefault="009E6CB5">
      <w:pPr>
        <w:pStyle w:val="PublicationTitle"/>
      </w:pPr>
      <w:r>
        <w:rPr>
          <w:rFonts w:eastAsia="Arial Unicode MS" w:hAnsi="Arial Unicode MS" w:cs="Arial Unicode MS"/>
        </w:rPr>
        <w:t>Access, amenity, and agglomeration: What can we expect from rapid transit projects?</w:t>
      </w:r>
    </w:p>
    <w:p w14:paraId="3CB63DDD" w14:textId="77777777" w:rsidR="007753F2" w:rsidRDefault="009E6CB5">
      <w:pPr>
        <w:pStyle w:val="AuthorName"/>
        <w:rPr>
          <w:vertAlign w:val="superscript"/>
        </w:rPr>
      </w:pPr>
      <w:r>
        <w:rPr>
          <w:rFonts w:eastAsia="Arial Unicode MS" w:hAnsi="Arial Unicode MS" w:cs="Arial Unicode MS"/>
        </w:rPr>
        <w:t>Karl Baker, Peter Nunns</w:t>
      </w:r>
      <w:r>
        <w:rPr>
          <w:rFonts w:eastAsia="Arial Unicode MS" w:hAnsi="Arial Unicode MS" w:cs="Arial Unicode MS"/>
          <w:vertAlign w:val="superscript"/>
        </w:rPr>
        <w:t xml:space="preserve"> 1</w:t>
      </w:r>
    </w:p>
    <w:p w14:paraId="367012F7" w14:textId="77777777" w:rsidR="007753F2" w:rsidRDefault="009E6CB5">
      <w:pPr>
        <w:pStyle w:val="AuthorAddress"/>
      </w:pPr>
      <w:r>
        <w:rPr>
          <w:rFonts w:eastAsia="Arial Unicode MS" w:hAnsi="Arial Unicode MS" w:cs="Arial Unicode MS"/>
          <w:vertAlign w:val="superscript"/>
        </w:rPr>
        <w:t>1</w:t>
      </w:r>
      <w:r>
        <w:rPr>
          <w:rFonts w:eastAsia="Arial Unicode MS" w:hAnsi="Arial Unicode MS" w:cs="Arial Unicode MS"/>
        </w:rPr>
        <w:t>MRCagney Pty Ltd; Level 4, 12 O</w:t>
      </w:r>
      <w:r>
        <w:rPr>
          <w:rFonts w:hAnsi="Arial Unicode MS"/>
        </w:rPr>
        <w:t>’</w:t>
      </w:r>
      <w:r>
        <w:rPr>
          <w:rFonts w:eastAsia="Arial Unicode MS" w:hAnsi="Arial Unicode MS" w:cs="Arial Unicode MS"/>
        </w:rPr>
        <w:t>Connell St, Auckland, New Zealand 1010</w:t>
      </w:r>
    </w:p>
    <w:p w14:paraId="049452BE" w14:textId="77777777" w:rsidR="007753F2" w:rsidRDefault="009E6CB5">
      <w:pPr>
        <w:pStyle w:val="AuthorAddress"/>
      </w:pPr>
      <w:r>
        <w:rPr>
          <w:rFonts w:eastAsia="Arial Unicode MS" w:hAnsi="Arial Unicode MS" w:cs="Arial Unicode MS"/>
        </w:rPr>
        <w:t>Email for correspondence: kbaker@mrcagney.com</w:t>
      </w:r>
    </w:p>
    <w:p w14:paraId="493701AA" w14:textId="77777777" w:rsidR="007753F2" w:rsidRDefault="009E6CB5">
      <w:pPr>
        <w:pStyle w:val="AbstractTitle"/>
      </w:pPr>
      <w:r>
        <w:t>Abstract</w:t>
      </w:r>
    </w:p>
    <w:p w14:paraId="5E47AAE7" w14:textId="3CAAEA18" w:rsidR="007753F2" w:rsidRDefault="009E6CB5">
      <w:pPr>
        <w:pStyle w:val="BodyA"/>
      </w:pPr>
      <w:r>
        <w:t xml:space="preserve">Investment in rapid transit infrastructure is undergoing a renaissance in cities throughout the developed world with development of heavy rail, bus rapid transit and light rail projects. Urban rapid transit projects often pose a conundrum for transport agencies seeking to write robust business cases. Conventional project appraisal methods focus on transport user benefits, but are often less able to capture wider economic benefits arising from land-use change in the rapid transit corridor, including commercial and residential intensification, improvements to public amenity and associated benefits from productivity and consumption-based agglomeration economies. </w:t>
      </w:r>
    </w:p>
    <w:p w14:paraId="7E743914" w14:textId="77777777" w:rsidR="007753F2" w:rsidRDefault="009E6CB5">
      <w:pPr>
        <w:pStyle w:val="BodyA"/>
      </w:pPr>
      <w:r>
        <w:t xml:space="preserve">This paper presents a new approach to ex-ante evaluation of rapid transit projects based on expected uplifts in property values around transit stations. We begin with a relatively simple insight: that a package of positive and negative effects will be </w:t>
      </w:r>
      <w:proofErr w:type="spellStart"/>
      <w:r>
        <w:t>capitalised</w:t>
      </w:r>
      <w:proofErr w:type="spellEnd"/>
      <w:r>
        <w:t xml:space="preserve"> into nearby property values. For example, rapid transit infrastructure that improves transport accessibility or reduces vehicle noise and emissions will enhance property values. In addition, changes in property values will also reflect changes in expectations for future redevelopment and agglomeration potential.</w:t>
      </w:r>
    </w:p>
    <w:p w14:paraId="4BBEBA50" w14:textId="77777777" w:rsidR="007753F2" w:rsidRDefault="009E6CB5">
      <w:pPr>
        <w:pStyle w:val="BodyA"/>
      </w:pPr>
      <w:r>
        <w:t xml:space="preserve">In this paper, we develop a flexible approach for evaluating project benefits based on the potential for property value uplift around transit stations. We use reference class forecasting </w:t>
      </w:r>
      <w:r>
        <w:rPr>
          <w:rFonts w:ascii="Arial Unicode MS" w:hAnsi="Arial"/>
        </w:rPr>
        <w:t>–</w:t>
      </w:r>
      <w:r>
        <w:rPr>
          <w:rFonts w:ascii="Arial Unicode MS"/>
        </w:rPr>
        <w:t xml:space="preserve"> </w:t>
      </w:r>
      <w:r>
        <w:t xml:space="preserve">i.e. identifying a range of scenarios based on observed outcomes following similar projects </w:t>
      </w:r>
      <w:r>
        <w:rPr>
          <w:rFonts w:ascii="Arial Unicode MS" w:hAnsi="Arial"/>
        </w:rPr>
        <w:t>–</w:t>
      </w:r>
      <w:r>
        <w:rPr>
          <w:rFonts w:ascii="Arial Unicode MS"/>
        </w:rPr>
        <w:t xml:space="preserve"> </w:t>
      </w:r>
      <w:r>
        <w:t>to understand the wider economic benefits of new rapid transit infrastructure. We apply this approach to a case study of a light rail project in Auckland, New Zealand, identify its strengths and weaknesses, and compare it with more conventional approaches to project appraisal. Finally, we discuss how it can be applied to project evaluation in other cities.</w:t>
      </w:r>
    </w:p>
    <w:p w14:paraId="44EFDBA7" w14:textId="77777777" w:rsidR="007753F2" w:rsidRDefault="009E6CB5">
      <w:pPr>
        <w:pStyle w:val="SectionHeadingLevel1"/>
      </w:pPr>
      <w:r>
        <w:t>1. Introduction</w:t>
      </w:r>
    </w:p>
    <w:p w14:paraId="40CA622C" w14:textId="09E28205" w:rsidR="007753F2" w:rsidRDefault="009E6CB5">
      <w:pPr>
        <w:pStyle w:val="BodyA"/>
      </w:pPr>
      <w:r>
        <w:t xml:space="preserve">There is a growing body of empirical literature showing positive property value impacts from rapid transit infrastructure. However, these empirical findings have not yet been widely </w:t>
      </w:r>
      <w:proofErr w:type="gramStart"/>
      <w:r>
        <w:t>applied</w:t>
      </w:r>
      <w:proofErr w:type="gramEnd"/>
      <w:r>
        <w:t xml:space="preserve"> to inform </w:t>
      </w:r>
      <w:r w:rsidRPr="00BA544B">
        <w:t>ex-ante project</w:t>
      </w:r>
      <w:r>
        <w:t xml:space="preserve"> evaluation procedures. Property value impacts have been forecast for a limited number of recent projects, but in most cases this analysis </w:t>
      </w:r>
      <w:r w:rsidR="00041C48">
        <w:t xml:space="preserve">has </w:t>
      </w:r>
      <w:r>
        <w:t>not contribute</w:t>
      </w:r>
      <w:r w:rsidR="00041C48">
        <w:t>d</w:t>
      </w:r>
      <w:r>
        <w:t xml:space="preserve"> to formal project appraisal and its wider use is hampered by a lack of a consistent methodology.</w:t>
      </w:r>
    </w:p>
    <w:p w14:paraId="74E1C4F0" w14:textId="77777777" w:rsidR="00194CCC" w:rsidRDefault="009E6CB5">
      <w:pPr>
        <w:pStyle w:val="BodyA"/>
      </w:pPr>
      <w:r>
        <w:t>This paper investigates the potential for using property value impact analysis as a more central tool for</w:t>
      </w:r>
      <w:r w:rsidRPr="00BA544B">
        <w:t xml:space="preserve"> </w:t>
      </w:r>
      <w:r w:rsidR="00BA544B">
        <w:rPr>
          <w:iCs/>
        </w:rPr>
        <w:t>ex-</w:t>
      </w:r>
      <w:r w:rsidRPr="00BA544B">
        <w:rPr>
          <w:iCs/>
        </w:rPr>
        <w:t>ante</w:t>
      </w:r>
      <w:r w:rsidRPr="00BA544B">
        <w:t xml:space="preserve"> </w:t>
      </w:r>
      <w:r>
        <w:t xml:space="preserve">appraisal of rapid transit projects. The promise of this approach is that property value uplift offers an already </w:t>
      </w:r>
      <w:proofErr w:type="spellStart"/>
      <w:r>
        <w:t>monetised</w:t>
      </w:r>
      <w:proofErr w:type="spellEnd"/>
      <w:r>
        <w:t xml:space="preserve"> </w:t>
      </w:r>
      <w:r>
        <w:rPr>
          <w:rFonts w:ascii="Arial Unicode MS" w:hAnsi="Arial"/>
        </w:rPr>
        <w:t>‘</w:t>
      </w:r>
      <w:r>
        <w:t>value</w:t>
      </w:r>
      <w:r>
        <w:rPr>
          <w:rFonts w:ascii="Arial Unicode MS" w:hAnsi="Arial"/>
        </w:rPr>
        <w:t>’</w:t>
      </w:r>
      <w:r>
        <w:rPr>
          <w:rFonts w:ascii="Arial Unicode MS"/>
        </w:rPr>
        <w:t xml:space="preserve"> </w:t>
      </w:r>
      <w:r>
        <w:t>that reflect</w:t>
      </w:r>
      <w:r w:rsidR="00041C48">
        <w:t>s many</w:t>
      </w:r>
      <w:r>
        <w:t xml:space="preserve"> economic benefits arising from a project</w:t>
      </w:r>
      <w:r w:rsidR="00041C48">
        <w:t>, including some</w:t>
      </w:r>
      <w:r>
        <w:t xml:space="preserve"> wider </w:t>
      </w:r>
      <w:r w:rsidR="00041C48">
        <w:t>economic</w:t>
      </w:r>
      <w:r>
        <w:t xml:space="preserve"> benefits that may be difficult to assess through conventional methods. Commuter rail, light rail and bus rapid transit lines </w:t>
      </w:r>
      <w:r w:rsidR="00041C48">
        <w:t xml:space="preserve">can support </w:t>
      </w:r>
      <w:r>
        <w:t>land-use change and intensification, agglomeration economies</w:t>
      </w:r>
      <w:r w:rsidR="00041C48">
        <w:t>,</w:t>
      </w:r>
      <w:r>
        <w:t xml:space="preserve"> and improvements to amenity and the public realm. Property value analysis may be useful in obtaining </w:t>
      </w:r>
      <w:proofErr w:type="spellStart"/>
      <w:r>
        <w:t>monetised</w:t>
      </w:r>
      <w:proofErr w:type="spellEnd"/>
      <w:r>
        <w:t xml:space="preserve"> values for such benefits. </w:t>
      </w:r>
    </w:p>
    <w:p w14:paraId="38217368" w14:textId="144D12D1" w:rsidR="007753F2" w:rsidRDefault="009E6CB5">
      <w:pPr>
        <w:pStyle w:val="BodyA"/>
      </w:pPr>
      <w:r w:rsidRPr="009E6CB5">
        <w:t xml:space="preserve">While </w:t>
      </w:r>
      <w:r w:rsidR="00041C48">
        <w:t>outcomes for</w:t>
      </w:r>
      <w:r w:rsidRPr="009E6CB5">
        <w:t xml:space="preserve"> </w:t>
      </w:r>
      <w:r w:rsidR="00BA544B">
        <w:t>property</w:t>
      </w:r>
      <w:r w:rsidRPr="009E6CB5">
        <w:t xml:space="preserve"> value uplift can only be </w:t>
      </w:r>
      <w:r w:rsidR="00041C48">
        <w:t>precisely</w:t>
      </w:r>
      <w:r w:rsidRPr="009E6CB5">
        <w:t xml:space="preserve"> assess</w:t>
      </w:r>
      <w:r w:rsidRPr="00BA544B">
        <w:t xml:space="preserve">ed in ex-post </w:t>
      </w:r>
      <w:r w:rsidRPr="009E6CB5">
        <w:t xml:space="preserve">appraisal, application of proxy land value uplift values from previous comparable projects may assist in </w:t>
      </w:r>
      <w:r w:rsidRPr="00BA544B">
        <w:t>ex-ante appraisal</w:t>
      </w:r>
      <w:r w:rsidRPr="009E6CB5">
        <w:t xml:space="preserve">. </w:t>
      </w:r>
      <w:r>
        <w:t xml:space="preserve">This paper outlines a method using reference class forecasting techniques </w:t>
      </w:r>
      <w:r w:rsidR="00041C48">
        <w:t>to identify and</w:t>
      </w:r>
      <w:r>
        <w:t xml:space="preserve"> </w:t>
      </w:r>
      <w:r w:rsidR="00041C48">
        <w:t>apply</w:t>
      </w:r>
      <w:r>
        <w:t xml:space="preserve"> proxy </w:t>
      </w:r>
      <w:r w:rsidR="00041C48">
        <w:t>values</w:t>
      </w:r>
      <w:r>
        <w:t xml:space="preserve"> to assess economic benefits from new and improved infrastructure. We apply the method to a </w:t>
      </w:r>
      <w:r w:rsidR="00041C48">
        <w:t xml:space="preserve">sample </w:t>
      </w:r>
      <w:r>
        <w:t>case study of a light rail project in Auckland, New Zealand.</w:t>
      </w:r>
    </w:p>
    <w:p w14:paraId="7655350B" w14:textId="199B7836" w:rsidR="007753F2" w:rsidRPr="009E6CB5" w:rsidRDefault="009E6CB5" w:rsidP="009E6CB5">
      <w:pPr>
        <w:pStyle w:val="BodyA"/>
      </w:pPr>
      <w:r>
        <w:t>This paper is structured as follows: in section</w:t>
      </w:r>
      <w:r w:rsidR="00194CCC">
        <w:t xml:space="preserve"> 2</w:t>
      </w:r>
      <w:r>
        <w:t xml:space="preserve"> we briefly discuss theoretical literature </w:t>
      </w:r>
      <w:r w:rsidR="00041C48" w:rsidRPr="00C30643">
        <w:t>on</w:t>
      </w:r>
      <w:r>
        <w:t xml:space="preserve"> the links between transport infrastructure and property value. We </w:t>
      </w:r>
      <w:r w:rsidR="00041C48" w:rsidRPr="00C30643">
        <w:t>find that</w:t>
      </w:r>
      <w:r>
        <w:t xml:space="preserve"> rapid transit infrastructure can </w:t>
      </w:r>
      <w:r w:rsidR="00041C48" w:rsidRPr="00C30643">
        <w:t>raise</w:t>
      </w:r>
      <w:r>
        <w:t xml:space="preserve"> property values</w:t>
      </w:r>
      <w:r w:rsidRPr="009E6CB5">
        <w:t xml:space="preserve"> </w:t>
      </w:r>
      <w:r>
        <w:t xml:space="preserve">through accessibility, amenity, agglomeration and land-use change. In the </w:t>
      </w:r>
      <w:r w:rsidR="00194CCC">
        <w:t>third</w:t>
      </w:r>
      <w:r>
        <w:t xml:space="preserve"> section, we review empirical studies on property value impacts from rapid transport infrastructure. We isolate the key variables determining the range of reported impacts and structure a reference class </w:t>
      </w:r>
      <w:r w:rsidR="00E80F7D">
        <w:t>to establish</w:t>
      </w:r>
      <w:r>
        <w:t xml:space="preserve"> proxy values. </w:t>
      </w:r>
      <w:r w:rsidRPr="00E80F7D">
        <w:t xml:space="preserve">In section </w:t>
      </w:r>
      <w:r w:rsidR="00194CCC">
        <w:t>4</w:t>
      </w:r>
      <w:r w:rsidRPr="00E80F7D">
        <w:t xml:space="preserve"> we </w:t>
      </w:r>
      <w:r w:rsidR="00041C48" w:rsidRPr="00C30643">
        <w:t xml:space="preserve">discuss </w:t>
      </w:r>
      <w:r w:rsidRPr="00E80F7D">
        <w:t xml:space="preserve">how proxy values obtained through our reference class analysis can be used for project appraisal. We </w:t>
      </w:r>
      <w:r w:rsidR="00194CCC">
        <w:t xml:space="preserve">then </w:t>
      </w:r>
      <w:r w:rsidRPr="00E80F7D">
        <w:t xml:space="preserve">apply our method to </w:t>
      </w:r>
      <w:r w:rsidR="00C30643" w:rsidRPr="00C30643">
        <w:t xml:space="preserve">several hypothetical </w:t>
      </w:r>
      <w:r w:rsidRPr="00E80F7D">
        <w:t xml:space="preserve">light rail </w:t>
      </w:r>
      <w:r w:rsidRPr="00C30643">
        <w:t>project</w:t>
      </w:r>
      <w:r w:rsidR="00C30643" w:rsidRPr="00C30643">
        <w:t>s</w:t>
      </w:r>
      <w:r w:rsidRPr="00E80F7D">
        <w:t xml:space="preserve"> in Auckland, New Zealand. F</w:t>
      </w:r>
      <w:r w:rsidR="00BA544B">
        <w:t xml:space="preserve">inally, in section </w:t>
      </w:r>
      <w:r w:rsidR="00194CCC">
        <w:t>6</w:t>
      </w:r>
      <w:r w:rsidR="00BA544B">
        <w:t xml:space="preserve"> we </w:t>
      </w:r>
      <w:r w:rsidR="00194CCC">
        <w:t>discu</w:t>
      </w:r>
      <w:r w:rsidR="00BA544B">
        <w:t>ss</w:t>
      </w:r>
      <w:r w:rsidRPr="00E80F7D">
        <w:t xml:space="preserve"> the strengths and weaknesses of </w:t>
      </w:r>
      <w:r w:rsidR="00C30643" w:rsidRPr="00C30643">
        <w:t xml:space="preserve">this </w:t>
      </w:r>
      <w:r w:rsidRPr="00C30643">
        <w:t>approach</w:t>
      </w:r>
      <w:r w:rsidR="00C30643" w:rsidRPr="00C30643">
        <w:t xml:space="preserve"> relative to conventional transport appraisal techniques</w:t>
      </w:r>
      <w:r w:rsidR="00BA544B">
        <w:t>.</w:t>
      </w:r>
    </w:p>
    <w:p w14:paraId="3DE0E626" w14:textId="16DC99A7" w:rsidR="007753F2" w:rsidRDefault="009E6CB5">
      <w:pPr>
        <w:pStyle w:val="SectionHeadingLevel1"/>
      </w:pPr>
      <w:r>
        <w:t xml:space="preserve">2. Rapid transit investment, property value impacts and economic benefits </w:t>
      </w:r>
      <w:r w:rsidR="00BB5B55">
        <w:t xml:space="preserve">   </w:t>
      </w:r>
    </w:p>
    <w:p w14:paraId="6C50D051" w14:textId="3FBF0FE2" w:rsidR="007753F2" w:rsidRDefault="009E6CB5">
      <w:pPr>
        <w:pStyle w:val="BodyA"/>
      </w:pPr>
      <w:r>
        <w:t xml:space="preserve">This section reviews literature on the relationships between transport infrastructure and </w:t>
      </w:r>
      <w:r w:rsidR="00E80F7D">
        <w:t xml:space="preserve">property/ </w:t>
      </w:r>
      <w:r w:rsidR="00C30643">
        <w:t>land</w:t>
      </w:r>
      <w:r>
        <w:t xml:space="preserve"> value</w:t>
      </w:r>
      <w:r w:rsidR="00C30643">
        <w:t>s</w:t>
      </w:r>
      <w:r>
        <w:t>.</w:t>
      </w:r>
      <w:r w:rsidR="00C30643">
        <w:t xml:space="preserve"> W</w:t>
      </w:r>
      <w:r>
        <w:t xml:space="preserve">e outline a framework illustrating the key mechanisms linking rapid transit investment and property value uplift (Figure 1). Our framework traces the mechanisms by which </w:t>
      </w:r>
      <w:r w:rsidR="00C30643">
        <w:t>changes in</w:t>
      </w:r>
      <w:r>
        <w:t xml:space="preserve"> transport accessibility and </w:t>
      </w:r>
      <w:r w:rsidR="00C30643">
        <w:t xml:space="preserve">environmental </w:t>
      </w:r>
      <w:r>
        <w:t xml:space="preserve">amenity </w:t>
      </w:r>
      <w:r w:rsidR="00C30643">
        <w:t xml:space="preserve">around transport </w:t>
      </w:r>
      <w:proofErr w:type="gramStart"/>
      <w:r w:rsidR="00C30643">
        <w:t xml:space="preserve">infrastructure </w:t>
      </w:r>
      <w:r>
        <w:t>lead</w:t>
      </w:r>
      <w:proofErr w:type="gramEnd"/>
      <w:r>
        <w:t xml:space="preserve"> to second-order effects on property development and land-use change</w:t>
      </w:r>
      <w:r w:rsidR="00C30643">
        <w:t>. These effects</w:t>
      </w:r>
      <w:r>
        <w:t xml:space="preserve"> are </w:t>
      </w:r>
      <w:r w:rsidR="00C30643">
        <w:t>all</w:t>
      </w:r>
      <w:r>
        <w:t xml:space="preserve"> reflected in property value</w:t>
      </w:r>
      <w:r w:rsidR="00C30643">
        <w:t>s</w:t>
      </w:r>
      <w:r>
        <w:t xml:space="preserve">. </w:t>
      </w:r>
    </w:p>
    <w:p w14:paraId="230003EF" w14:textId="77777777" w:rsidR="00E80F7D" w:rsidRPr="00DF3386" w:rsidRDefault="00E80F7D" w:rsidP="00E80F7D">
      <w:pPr>
        <w:pStyle w:val="BodyA"/>
      </w:pPr>
      <w:r w:rsidRPr="00DF3386">
        <w:t xml:space="preserve">The primary mechanism by which an urban transport infrastructure improvement might increase property value is through the increased accessibility for particular locations enabled by the infrastructure. For example, </w:t>
      </w:r>
      <w:r>
        <w:t xml:space="preserve">a new rail line </w:t>
      </w:r>
      <w:r w:rsidRPr="00DF3386">
        <w:t xml:space="preserve">connecting a </w:t>
      </w:r>
      <w:r>
        <w:t xml:space="preserve">central business district (CBD) </w:t>
      </w:r>
      <w:r w:rsidRPr="00DF3386">
        <w:t xml:space="preserve">with residential suburbs can mean residential properties near </w:t>
      </w:r>
      <w:r>
        <w:t>stations</w:t>
      </w:r>
      <w:r w:rsidRPr="00DF3386">
        <w:t xml:space="preserve"> benefit from improved accessibility to </w:t>
      </w:r>
      <w:r>
        <w:t>high-paying</w:t>
      </w:r>
      <w:r w:rsidRPr="00DF3386">
        <w:t xml:space="preserve"> employment opportunities. Likewise, CBD-based firms </w:t>
      </w:r>
      <w:r>
        <w:t xml:space="preserve">near stations </w:t>
      </w:r>
      <w:r w:rsidRPr="00DF3386">
        <w:t xml:space="preserve">may enjoy better access to wider </w:t>
      </w:r>
      <w:proofErr w:type="spellStart"/>
      <w:r w:rsidRPr="00DF3386">
        <w:t>labour</w:t>
      </w:r>
      <w:proofErr w:type="spellEnd"/>
      <w:r w:rsidRPr="00DF3386">
        <w:t xml:space="preserve"> markets.</w:t>
      </w:r>
    </w:p>
    <w:p w14:paraId="52A39D3F" w14:textId="5B8DAF32" w:rsidR="00E80F7D" w:rsidRDefault="00E80F7D" w:rsidP="00E80F7D">
      <w:pPr>
        <w:pStyle w:val="BodyA"/>
      </w:pPr>
      <w:r>
        <w:t>U</w:t>
      </w:r>
      <w:r w:rsidRPr="00DF3386">
        <w:t xml:space="preserve">rban economics </w:t>
      </w:r>
      <w:r>
        <w:t>spatial equilibrium models and bid-rent theory explain</w:t>
      </w:r>
      <w:r w:rsidRPr="00DF3386">
        <w:t xml:space="preserve"> differential urban land rent as a function of transport costs to certain beneficial locations within a city</w:t>
      </w:r>
      <w:r>
        <w:t xml:space="preserve"> such as a </w:t>
      </w:r>
      <w:r w:rsidR="00BA544B">
        <w:t>CBD</w:t>
      </w:r>
      <w:r>
        <w:t xml:space="preserve"> (Alonso 1964, </w:t>
      </w:r>
      <w:proofErr w:type="spellStart"/>
      <w:r>
        <w:t>Muth</w:t>
      </w:r>
      <w:proofErr w:type="spellEnd"/>
      <w:r>
        <w:t xml:space="preserve"> 1969). </w:t>
      </w:r>
      <w:r w:rsidRPr="00DF3386">
        <w:t xml:space="preserve">In </w:t>
      </w:r>
      <w:r>
        <w:t>a traditional</w:t>
      </w:r>
      <w:r w:rsidRPr="00DF3386">
        <w:t xml:space="preserve"> mono-centric </w:t>
      </w:r>
      <w:r>
        <w:t>city</w:t>
      </w:r>
      <w:r w:rsidRPr="00DF3386">
        <w:t xml:space="preserve"> where employment is </w:t>
      </w:r>
      <w:r>
        <w:t>concentrated in the</w:t>
      </w:r>
      <w:r w:rsidRPr="00DF3386">
        <w:t xml:space="preserve"> CBD, residential land values </w:t>
      </w:r>
      <w:r>
        <w:t xml:space="preserve">can be expected to </w:t>
      </w:r>
      <w:r w:rsidRPr="00DF3386">
        <w:t xml:space="preserve">decline with distance from the CBD </w:t>
      </w:r>
      <w:r>
        <w:t>as</w:t>
      </w:r>
      <w:r w:rsidRPr="00DF3386">
        <w:t xml:space="preserve"> commuting costs rise. Conversely, higher residential land values close to</w:t>
      </w:r>
      <w:r>
        <w:t xml:space="preserve"> the CBD reflect transport </w:t>
      </w:r>
      <w:proofErr w:type="gramStart"/>
      <w:r>
        <w:t>time-</w:t>
      </w:r>
      <w:r w:rsidRPr="00DF3386">
        <w:t>savings</w:t>
      </w:r>
      <w:proofErr w:type="gramEnd"/>
      <w:r w:rsidRPr="00DF3386">
        <w:t xml:space="preserve"> </w:t>
      </w:r>
      <w:proofErr w:type="spellStart"/>
      <w:r w:rsidRPr="00DF3386">
        <w:t>capitalised</w:t>
      </w:r>
      <w:proofErr w:type="spellEnd"/>
      <w:r w:rsidRPr="00DF3386">
        <w:t xml:space="preserve"> into higher land values. </w:t>
      </w:r>
      <w:r>
        <w:t xml:space="preserve">New rapid transit </w:t>
      </w:r>
      <w:r w:rsidRPr="00DF3386">
        <w:t>infrastructure</w:t>
      </w:r>
      <w:r>
        <w:t xml:space="preserve"> that</w:t>
      </w:r>
      <w:r w:rsidRPr="00DF3386">
        <w:t xml:space="preserve"> reduces commuting costs to employment </w:t>
      </w:r>
      <w:proofErr w:type="spellStart"/>
      <w:r w:rsidRPr="00DF3386">
        <w:t>centres</w:t>
      </w:r>
      <w:proofErr w:type="spellEnd"/>
      <w:r>
        <w:t xml:space="preserve"> can be expected to result in </w:t>
      </w:r>
      <w:r w:rsidRPr="00DF3386">
        <w:t xml:space="preserve">residential property </w:t>
      </w:r>
      <w:proofErr w:type="gramStart"/>
      <w:r w:rsidRPr="00DF3386">
        <w:t>purchasers</w:t>
      </w:r>
      <w:proofErr w:type="gramEnd"/>
      <w:r w:rsidRPr="00DF3386">
        <w:t xml:space="preserve"> bid</w:t>
      </w:r>
      <w:r>
        <w:t>ding</w:t>
      </w:r>
      <w:r w:rsidRPr="00DF3386">
        <w:t xml:space="preserve">-up prices </w:t>
      </w:r>
      <w:r>
        <w:t xml:space="preserve">to reflect improved accessibility. </w:t>
      </w:r>
      <w:r w:rsidRPr="00DF3386">
        <w:t xml:space="preserve">For </w:t>
      </w:r>
      <w:r>
        <w:t xml:space="preserve">CBD </w:t>
      </w:r>
      <w:r w:rsidRPr="00DF3386">
        <w:t xml:space="preserve">commercial </w:t>
      </w:r>
      <w:r>
        <w:t xml:space="preserve">office and retail </w:t>
      </w:r>
      <w:r w:rsidRPr="00DF3386">
        <w:t xml:space="preserve">property affected by new </w:t>
      </w:r>
      <w:r>
        <w:t xml:space="preserve">rapid </w:t>
      </w:r>
      <w:r w:rsidRPr="00DF3386">
        <w:t xml:space="preserve">transport infrastructure, purchasers </w:t>
      </w:r>
      <w:r>
        <w:t xml:space="preserve">can be expected to </w:t>
      </w:r>
      <w:r w:rsidRPr="00DF3386">
        <w:t xml:space="preserve">bid up the price of </w:t>
      </w:r>
      <w:r>
        <w:t xml:space="preserve">property in these central </w:t>
      </w:r>
      <w:r w:rsidRPr="00DF3386">
        <w:t xml:space="preserve">locations that benefit from improved accessibility to </w:t>
      </w:r>
      <w:proofErr w:type="spellStart"/>
      <w:r>
        <w:t>labour</w:t>
      </w:r>
      <w:proofErr w:type="spellEnd"/>
      <w:r>
        <w:t xml:space="preserve"> </w:t>
      </w:r>
      <w:r w:rsidRPr="00DF3386">
        <w:t>markets</w:t>
      </w:r>
      <w:r>
        <w:t>, suppliers and customers</w:t>
      </w:r>
      <w:r w:rsidRPr="00DF3386">
        <w:t xml:space="preserve"> (McCann </w:t>
      </w:r>
      <w:r>
        <w:t>2001</w:t>
      </w:r>
      <w:r w:rsidRPr="00DF3386">
        <w:t xml:space="preserve">). </w:t>
      </w:r>
    </w:p>
    <w:p w14:paraId="0562310A" w14:textId="37190C65" w:rsidR="00E80F7D" w:rsidRDefault="00E80F7D">
      <w:pPr>
        <w:pStyle w:val="BodyA"/>
      </w:pPr>
      <w:r>
        <w:t>Improved accessibility can have second-order impacts by increasing the potential for agglomeration externalities that can further contribute to property value uplift. Transport accessibility supports agglomeration externalities at particular locations by enabling</w:t>
      </w:r>
      <w:r w:rsidRPr="00DF3386">
        <w:t xml:space="preserve"> a greater ease of interaction between higher numbers of people and firms</w:t>
      </w:r>
      <w:r>
        <w:t xml:space="preserve">, increasing the </w:t>
      </w:r>
      <w:r>
        <w:t>‘</w:t>
      </w:r>
      <w:r>
        <w:t>economic mass</w:t>
      </w:r>
      <w:r>
        <w:t>’</w:t>
      </w:r>
      <w:r>
        <w:t xml:space="preserve"> accessible from a location or its </w:t>
      </w:r>
      <w:r>
        <w:t>‘</w:t>
      </w:r>
      <w:r>
        <w:t>effective density</w:t>
      </w:r>
      <w:r>
        <w:t>’</w:t>
      </w:r>
      <w:r>
        <w:t xml:space="preserve"> (</w:t>
      </w:r>
      <w:proofErr w:type="spellStart"/>
      <w:r>
        <w:t>Venables</w:t>
      </w:r>
      <w:proofErr w:type="spellEnd"/>
      <w:r>
        <w:t xml:space="preserve"> 2007). The property value impacts from agglomeration externalities are likely to be most significant for CBD locations in large congested cities where new rapid transit infrastructure can allow firms to benefit from denser concentrations of business activity (Chatman and Noland 2014) and </w:t>
      </w:r>
      <w:r>
        <w:lastRenderedPageBreak/>
        <w:t>easier access to a larger proportion of the city</w:t>
      </w:r>
      <w:r>
        <w:t>’</w:t>
      </w:r>
      <w:r>
        <w:t xml:space="preserve">s </w:t>
      </w:r>
      <w:proofErr w:type="spellStart"/>
      <w:r>
        <w:t>labour</w:t>
      </w:r>
      <w:proofErr w:type="spellEnd"/>
      <w:r>
        <w:t xml:space="preserve"> pool (</w:t>
      </w:r>
      <w:proofErr w:type="spellStart"/>
      <w:r w:rsidRPr="00DF3386">
        <w:t>Prud</w:t>
      </w:r>
      <w:r w:rsidRPr="00DF3386">
        <w:rPr>
          <w:rFonts w:ascii="Arial Unicode MS" w:hAnsi="Arial"/>
        </w:rPr>
        <w:t>’</w:t>
      </w:r>
      <w:r>
        <w:t>homme</w:t>
      </w:r>
      <w:proofErr w:type="spellEnd"/>
      <w:r>
        <w:t xml:space="preserve"> and Lee </w:t>
      </w:r>
      <w:r w:rsidRPr="00DF3386">
        <w:t>1999)</w:t>
      </w:r>
      <w:r>
        <w:t>. R</w:t>
      </w:r>
      <w:r w:rsidRPr="00DF3386">
        <w:t xml:space="preserve">apid transit </w:t>
      </w:r>
      <w:r>
        <w:t>infrastructure may have particular advantages in supporting central city agglomeration economies by</w:t>
      </w:r>
      <w:r w:rsidRPr="00DF3386">
        <w:t xml:space="preserve"> enabling </w:t>
      </w:r>
      <w:r>
        <w:t xml:space="preserve">larger and </w:t>
      </w:r>
      <w:r w:rsidRPr="00DF3386">
        <w:t>dense</w:t>
      </w:r>
      <w:r>
        <w:t>r</w:t>
      </w:r>
      <w:r w:rsidRPr="00DF3386">
        <w:t xml:space="preserve"> employment </w:t>
      </w:r>
      <w:proofErr w:type="spellStart"/>
      <w:r w:rsidRPr="00DF3386">
        <w:t>centres</w:t>
      </w:r>
      <w:proofErr w:type="spellEnd"/>
      <w:r w:rsidRPr="00DF3386">
        <w:t xml:space="preserve"> </w:t>
      </w:r>
      <w:r>
        <w:t xml:space="preserve">than those supported by car-based transport systems with higher spatial demands for road and parking infrastructure </w:t>
      </w:r>
      <w:r w:rsidRPr="00DF3386">
        <w:t>(</w:t>
      </w:r>
      <w:proofErr w:type="spellStart"/>
      <w:r w:rsidRPr="00DF3386">
        <w:t>Hazledine</w:t>
      </w:r>
      <w:proofErr w:type="spellEnd"/>
      <w:r w:rsidRPr="00DF3386">
        <w:t xml:space="preserve"> et al 2012). </w:t>
      </w:r>
      <w:r>
        <w:t>There is emerging empirical e</w:t>
      </w:r>
      <w:r w:rsidRPr="00DF3386">
        <w:t xml:space="preserve">vidence </w:t>
      </w:r>
      <w:r>
        <w:t xml:space="preserve">suggesting that </w:t>
      </w:r>
      <w:r w:rsidRPr="00DF3386">
        <w:t xml:space="preserve">agglomeration economies in </w:t>
      </w:r>
      <w:r w:rsidR="00BA544B">
        <w:t xml:space="preserve">dense </w:t>
      </w:r>
      <w:r w:rsidRPr="00DF3386">
        <w:t xml:space="preserve">commercial </w:t>
      </w:r>
      <w:proofErr w:type="spellStart"/>
      <w:r w:rsidRPr="00DF3386">
        <w:t>centres</w:t>
      </w:r>
      <w:proofErr w:type="spellEnd"/>
      <w:r w:rsidRPr="00DF3386">
        <w:t xml:space="preserve"> </w:t>
      </w:r>
      <w:r>
        <w:t xml:space="preserve">are reflected in </w:t>
      </w:r>
      <w:r w:rsidR="00BA544B">
        <w:t xml:space="preserve">land value premiums </w:t>
      </w:r>
      <w:r>
        <w:t>(</w:t>
      </w:r>
      <w:proofErr w:type="spellStart"/>
      <w:r>
        <w:t>Koster</w:t>
      </w:r>
      <w:proofErr w:type="spellEnd"/>
      <w:r>
        <w:t xml:space="preserve"> 2013).</w:t>
      </w:r>
    </w:p>
    <w:p w14:paraId="73549EA5" w14:textId="77777777" w:rsidR="007753F2" w:rsidRDefault="009E6CB5">
      <w:pPr>
        <w:pStyle w:val="Captionstyle"/>
        <w:widowControl w:val="0"/>
      </w:pPr>
      <w:r>
        <w:t>Figure 1: Conceptual framework linking rapid transit infrastructure investment and property value impacts</w:t>
      </w:r>
    </w:p>
    <w:p w14:paraId="0FCCCECC" w14:textId="1FD13941" w:rsidR="00DF3386" w:rsidRDefault="009E6CB5">
      <w:pPr>
        <w:pStyle w:val="BodyA"/>
      </w:pPr>
      <w:r>
        <w:rPr>
          <w:noProof/>
        </w:rPr>
        <w:drawing>
          <wp:inline distT="0" distB="0" distL="0" distR="0" wp14:anchorId="068A43B0" wp14:editId="0F1A3BEA">
            <wp:extent cx="5755640" cy="3987598"/>
            <wp:effectExtent l="0" t="0" r="10160" b="63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9">
                      <a:extLst/>
                    </a:blip>
                    <a:stretch>
                      <a:fillRect/>
                    </a:stretch>
                  </pic:blipFill>
                  <pic:spPr>
                    <a:xfrm>
                      <a:off x="0" y="0"/>
                      <a:ext cx="5755641" cy="3987599"/>
                    </a:xfrm>
                    <a:prstGeom prst="rect">
                      <a:avLst/>
                    </a:prstGeom>
                    <a:ln w="12700" cap="flat">
                      <a:noFill/>
                      <a:miter lim="400000"/>
                    </a:ln>
                    <a:effectLst/>
                  </pic:spPr>
                </pic:pic>
              </a:graphicData>
            </a:graphic>
          </wp:inline>
        </w:drawing>
      </w:r>
    </w:p>
    <w:p w14:paraId="0784E9DD" w14:textId="327E6457" w:rsidR="006E60B8" w:rsidRPr="00DF3386" w:rsidRDefault="00294D46" w:rsidP="00294D46">
      <w:pPr>
        <w:pStyle w:val="BodyA"/>
      </w:pPr>
      <w:r>
        <w:t>In addition to accessibility and associated agglomeration mechanisms driving property value uplift from rapid transit investment, a secondary mechanism linking rapid transit projects with property values is through amenity</w:t>
      </w:r>
      <w:r w:rsidR="004B1181">
        <w:t xml:space="preserve"> impacts</w:t>
      </w:r>
      <w:r>
        <w:t xml:space="preserve">. Rapid transit infrastructure can create both positive and negative effects on local amenity. For example, a new rail line through a residential area may introduce noise or visual intrusion that negatively </w:t>
      </w:r>
      <w:r w:rsidR="004B1181">
        <w:t>impacts p</w:t>
      </w:r>
      <w:r>
        <w:t xml:space="preserve">roperty values. Conversely, infrastructure can improve amenity through </w:t>
      </w:r>
      <w:r w:rsidR="005E2BA5">
        <w:t>improvements to public realm/ urban design accompanying the infrastructure</w:t>
      </w:r>
      <w:r>
        <w:t xml:space="preserve"> or by reducing externality effects of superseded transport infrastructure. A light rail line, for example may improve the amenity of a street by </w:t>
      </w:r>
      <w:r w:rsidR="00BA544B">
        <w:t>reducing local air and noise pollution from</w:t>
      </w:r>
      <w:r>
        <w:t xml:space="preserve"> </w:t>
      </w:r>
      <w:r w:rsidR="00BA544B">
        <w:t xml:space="preserve">high volumes of </w:t>
      </w:r>
      <w:r>
        <w:t>buses. As with the accessibility and agglomeration impacts, amenity impacts of rapid transit infrastructure can be very different from those of road-based transport infrastructure. Non-invasive infrastructure such as light rail or underground rail can deliver high levels of passenger transport capacity with lower levels of amenity impact than road infrastructure</w:t>
      </w:r>
      <w:r w:rsidR="00BA544B">
        <w:t xml:space="preserve"> with equivalent passenger-carrying capacity</w:t>
      </w:r>
      <w:r>
        <w:t>.</w:t>
      </w:r>
    </w:p>
    <w:p w14:paraId="560BD9E1" w14:textId="171CEDA5" w:rsidR="006E60B8" w:rsidRPr="00DF3386" w:rsidRDefault="00294D46" w:rsidP="00CF3929">
      <w:pPr>
        <w:pStyle w:val="BodyA"/>
      </w:pPr>
      <w:r>
        <w:t>Finally, rapid transit infrastructure can impact property values and the wider economy through land-use ch</w:t>
      </w:r>
      <w:r w:rsidR="00734C61">
        <w:t>ange and intensification. As illustrated in Figure 1, land-use change can be understood as a second-order impact arising not directly from new rapid transit infrastructure</w:t>
      </w:r>
      <w:r w:rsidR="00BA544B">
        <w:t>,</w:t>
      </w:r>
      <w:r w:rsidR="00734C61">
        <w:t xml:space="preserve"> but from </w:t>
      </w:r>
      <w:r w:rsidR="00BA544B">
        <w:t>its</w:t>
      </w:r>
      <w:r w:rsidR="00734C61">
        <w:t xml:space="preserve"> accessibility and amenity impacts. </w:t>
      </w:r>
      <w:r w:rsidR="005E2BA5">
        <w:t xml:space="preserve">Land-use change through property development can occur because developers perceive the location to be more </w:t>
      </w:r>
      <w:r w:rsidR="005E2BA5">
        <w:lastRenderedPageBreak/>
        <w:t xml:space="preserve">attractive for development following the introduction of infrastructure and because higher property/land prices </w:t>
      </w:r>
      <w:proofErr w:type="spellStart"/>
      <w:r w:rsidR="005E2BA5">
        <w:t>incentivise</w:t>
      </w:r>
      <w:proofErr w:type="spellEnd"/>
      <w:r w:rsidR="005E2BA5">
        <w:t xml:space="preserve"> land-use change</w:t>
      </w:r>
      <w:r w:rsidR="00BA544B">
        <w:t>.</w:t>
      </w:r>
      <w:r w:rsidR="005E2BA5">
        <w:t xml:space="preserve"> Figure 1 shows multiple feedback interactions between property prices and land-use change and between land-use change and accessibility and amenity. Land-use change and property development can increase local accessibility by increasing the levels of local services and jobs available and</w:t>
      </w:r>
      <w:r w:rsidR="004B1181">
        <w:t xml:space="preserve"> impact amenity</w:t>
      </w:r>
      <w:r w:rsidR="005E2BA5">
        <w:t xml:space="preserve"> </w:t>
      </w:r>
      <w:r w:rsidR="004B1181">
        <w:t xml:space="preserve">through improvements to </w:t>
      </w:r>
      <w:r w:rsidR="00BA544B">
        <w:t>the built environment</w:t>
      </w:r>
      <w:r w:rsidR="005E2BA5">
        <w:t>.</w:t>
      </w:r>
      <w:r w:rsidR="00CF3929">
        <w:t xml:space="preserve">  </w:t>
      </w:r>
    </w:p>
    <w:p w14:paraId="2BA06778" w14:textId="6CAA93E9" w:rsidR="007753F2" w:rsidRDefault="005E2BA5">
      <w:pPr>
        <w:pStyle w:val="BodyA"/>
      </w:pPr>
      <w:r>
        <w:t>The relationships outlined above between rapid transit infrastructure and</w:t>
      </w:r>
      <w:r w:rsidR="00CF3929">
        <w:t xml:space="preserve"> property value impacts do not represent automatic causal links. While new infrastructure can guarantee accessibility and amenity changes, the subsequent link to property value uplift depends on multiple contextual conditions. </w:t>
      </w:r>
      <w:r w:rsidR="00FD30B3">
        <w:t>T</w:t>
      </w:r>
      <w:r w:rsidR="00CF3929">
        <w:t>ransport infrastructure</w:t>
      </w:r>
      <w:r w:rsidR="004B1181">
        <w:t xml:space="preserve"> </w:t>
      </w:r>
      <w:r w:rsidR="00FD30B3">
        <w:t>is</w:t>
      </w:r>
      <w:r w:rsidR="00CF3929">
        <w:t xml:space="preserve"> a necessary but not sufficient </w:t>
      </w:r>
      <w:r w:rsidR="004B1181">
        <w:t>condition</w:t>
      </w:r>
      <w:r w:rsidR="00CF3929">
        <w:t xml:space="preserve"> </w:t>
      </w:r>
      <w:r w:rsidR="00FD30B3">
        <w:t>for</w:t>
      </w:r>
      <w:r w:rsidR="00CF3929">
        <w:t xml:space="preserve"> </w:t>
      </w:r>
      <w:r w:rsidR="00FD30B3">
        <w:t>increasing</w:t>
      </w:r>
      <w:r w:rsidR="00CF3929">
        <w:t xml:space="preserve"> </w:t>
      </w:r>
      <w:r w:rsidR="004B1181">
        <w:t>property value</w:t>
      </w:r>
      <w:r w:rsidR="00FD30B3">
        <w:t>s</w:t>
      </w:r>
      <w:r w:rsidR="004B1181">
        <w:t xml:space="preserve"> </w:t>
      </w:r>
      <w:r w:rsidR="00FD30B3">
        <w:t xml:space="preserve">and development </w:t>
      </w:r>
      <w:r w:rsidR="005B4487">
        <w:t xml:space="preserve">(Banister and </w:t>
      </w:r>
      <w:proofErr w:type="spellStart"/>
      <w:r w:rsidR="005B4487">
        <w:t>Berechman</w:t>
      </w:r>
      <w:proofErr w:type="spellEnd"/>
      <w:r w:rsidR="005B4487">
        <w:t xml:space="preserve"> 2001</w:t>
      </w:r>
      <w:r w:rsidR="00CF3929" w:rsidRPr="00DF3386">
        <w:t>).</w:t>
      </w:r>
      <w:r w:rsidR="00CF3929">
        <w:t xml:space="preserve"> For example, the regulatory environment supporting land use change, the general economic climate of the city, property market conditions and availability of finance will all influence the extent to which accessibility and amenity improvements translate into property value uplift (GVA </w:t>
      </w:r>
      <w:proofErr w:type="spellStart"/>
      <w:r w:rsidR="00CF3929">
        <w:t>Grimley</w:t>
      </w:r>
      <w:proofErr w:type="spellEnd"/>
      <w:r w:rsidR="00CF3929">
        <w:t xml:space="preserve"> 2004</w:t>
      </w:r>
      <w:r w:rsidR="00B73678">
        <w:t>, Williamson et al 2012</w:t>
      </w:r>
      <w:r w:rsidR="00CF3929">
        <w:t xml:space="preserve">). </w:t>
      </w:r>
    </w:p>
    <w:p w14:paraId="43AE34F8" w14:textId="77777777" w:rsidR="007753F2" w:rsidRDefault="009E6CB5">
      <w:pPr>
        <w:pStyle w:val="SectionHeadingLevel1"/>
      </w:pPr>
      <w:r>
        <w:t xml:space="preserve">3. Property value impact analysis for project evaluation </w:t>
      </w:r>
    </w:p>
    <w:p w14:paraId="0D32E7C9" w14:textId="2B533665" w:rsidR="007753F2" w:rsidRDefault="00BA544B">
      <w:pPr>
        <w:pStyle w:val="BodyA"/>
      </w:pPr>
      <w:r>
        <w:t xml:space="preserve">There is </w:t>
      </w:r>
      <w:r w:rsidR="00EF7A6F">
        <w:t>a rapidly expanding empirical</w:t>
      </w:r>
      <w:r w:rsidR="009E6CB5">
        <w:t xml:space="preserve"> evidence base </w:t>
      </w:r>
      <w:r w:rsidR="00EF7A6F">
        <w:t xml:space="preserve">supporting </w:t>
      </w:r>
      <w:r>
        <w:t xml:space="preserve">the </w:t>
      </w:r>
      <w:r w:rsidR="00FD30B3">
        <w:t>strong relationships between rapid transit investment and localised property value uplift</w:t>
      </w:r>
      <w:r>
        <w:t xml:space="preserve"> hypothesized by urban economic theory</w:t>
      </w:r>
      <w:r w:rsidR="00EF7A6F">
        <w:t xml:space="preserve">. However, </w:t>
      </w:r>
      <w:r w:rsidR="009E6CB5">
        <w:t xml:space="preserve">property value analysis has not yet been extensively applied for the purposes of </w:t>
      </w:r>
      <w:r w:rsidR="009E6CB5" w:rsidRPr="00BA544B">
        <w:t>ex-ante project</w:t>
      </w:r>
      <w:r w:rsidR="009E6CB5">
        <w:t xml:space="preserve"> evaluation. This section briefly examines </w:t>
      </w:r>
      <w:r w:rsidR="00EF7A6F">
        <w:t>why</w:t>
      </w:r>
      <w:r w:rsidR="009E6CB5">
        <w:t xml:space="preserve"> property value analysis </w:t>
      </w:r>
      <w:r w:rsidR="00EF7A6F">
        <w:t>may be useful for evaluation purposes. It compares</w:t>
      </w:r>
      <w:r w:rsidR="009E6CB5">
        <w:t xml:space="preserve"> the approach with conventional evaluation methods</w:t>
      </w:r>
      <w:r w:rsidR="00EF7A6F">
        <w:t xml:space="preserve"> and </w:t>
      </w:r>
      <w:r w:rsidR="009E6CB5">
        <w:t xml:space="preserve">outlines some examples where property value analysis has been used to </w:t>
      </w:r>
      <w:r w:rsidR="00EF7A6F">
        <w:t xml:space="preserve">date in </w:t>
      </w:r>
      <w:r w:rsidR="009E6CB5">
        <w:t>support</w:t>
      </w:r>
      <w:r w:rsidR="00EF7A6F">
        <w:t>ing</w:t>
      </w:r>
      <w:r w:rsidR="009E6CB5">
        <w:t xml:space="preserve"> business cases for rapid transit projects. </w:t>
      </w:r>
    </w:p>
    <w:p w14:paraId="74F2CDC0" w14:textId="77777777" w:rsidR="007753F2" w:rsidRDefault="009E6CB5">
      <w:pPr>
        <w:pStyle w:val="SectionHeadingLevel2"/>
      </w:pPr>
      <w:r>
        <w:t>3.1 Comparison with conventional approaches to project evaluation</w:t>
      </w:r>
    </w:p>
    <w:p w14:paraId="21CC46BF" w14:textId="77777777" w:rsidR="007753F2" w:rsidRDefault="009E6CB5">
      <w:pPr>
        <w:pStyle w:val="BodyA"/>
      </w:pPr>
      <w:r>
        <w:t xml:space="preserve">Transport project evaluation methods are </w:t>
      </w:r>
      <w:proofErr w:type="gramStart"/>
      <w:r>
        <w:t>well-established</w:t>
      </w:r>
      <w:proofErr w:type="gramEnd"/>
      <w:r>
        <w:t xml:space="preserve"> and a common framework for appraisal is now used across the developed world (Mackie and </w:t>
      </w:r>
      <w:proofErr w:type="spellStart"/>
      <w:r>
        <w:t>Worsley</w:t>
      </w:r>
      <w:proofErr w:type="spellEnd"/>
      <w:r>
        <w:t xml:space="preserve"> 2013). Conventional good practice for economic evaluation in Australia, New Zealand, UK, USA and Germany, among other countries, is based on cost-benefit analysis supplemented by other analytic techniques to capture non-</w:t>
      </w:r>
      <w:proofErr w:type="spellStart"/>
      <w:r>
        <w:t>monetised</w:t>
      </w:r>
      <w:proofErr w:type="spellEnd"/>
      <w:r>
        <w:t xml:space="preserve"> components.</w:t>
      </w:r>
      <w:r w:rsidR="00FD30B3">
        <w:t xml:space="preserve"> In New Zealand, for example, the New Zealand Transport Agency</w:t>
      </w:r>
      <w:r w:rsidR="00FD30B3">
        <w:t>’</w:t>
      </w:r>
      <w:r w:rsidR="00FD30B3">
        <w:t xml:space="preserve">s </w:t>
      </w:r>
      <w:r w:rsidR="00FD30B3">
        <w:rPr>
          <w:i/>
        </w:rPr>
        <w:t>Economic Evaluation Manual</w:t>
      </w:r>
      <w:r w:rsidR="00FD30B3">
        <w:t xml:space="preserve"> establishes a </w:t>
      </w:r>
      <w:proofErr w:type="spellStart"/>
      <w:r w:rsidR="00FD30B3">
        <w:t>standardised</w:t>
      </w:r>
      <w:proofErr w:type="spellEnd"/>
      <w:r w:rsidR="00FD30B3">
        <w:t xml:space="preserve"> approach for project evaluation.</w:t>
      </w:r>
    </w:p>
    <w:p w14:paraId="34C2DAF0" w14:textId="091127AB" w:rsidR="007753F2" w:rsidRDefault="009E6CB5">
      <w:pPr>
        <w:pStyle w:val="BodyA"/>
      </w:pPr>
      <w:r>
        <w:t xml:space="preserve">Project evaluation using property value analysis differs from conventional appraisal in focusing </w:t>
      </w:r>
      <w:r w:rsidR="00EF7A6F">
        <w:t xml:space="preserve">on benefits as reflected in localised property value uplift rather than </w:t>
      </w:r>
      <w:r>
        <w:t>model</w:t>
      </w:r>
      <w:r w:rsidR="00FD30B3">
        <w:t>l</w:t>
      </w:r>
      <w:r>
        <w:t xml:space="preserve">ing transport user benefits and </w:t>
      </w:r>
      <w:r w:rsidR="00EF7A6F">
        <w:t>other externality effects</w:t>
      </w:r>
      <w:r>
        <w:t xml:space="preserve">. While property value analysis may be most appropriately treated as </w:t>
      </w:r>
      <w:r w:rsidR="00D436F9">
        <w:t xml:space="preserve">a </w:t>
      </w:r>
      <w:r>
        <w:t xml:space="preserve">supplementary </w:t>
      </w:r>
      <w:r w:rsidR="00EF7A6F">
        <w:t>to</w:t>
      </w:r>
      <w:r w:rsidR="00D436F9">
        <w:t>ol</w:t>
      </w:r>
      <w:r w:rsidR="00EF7A6F">
        <w:t xml:space="preserve">, </w:t>
      </w:r>
      <w:r>
        <w:t xml:space="preserve">rather than </w:t>
      </w:r>
      <w:r w:rsidR="00BA544B">
        <w:t xml:space="preserve">as an alternative </w:t>
      </w:r>
      <w:r w:rsidR="00D436F9">
        <w:t>method</w:t>
      </w:r>
      <w:r>
        <w:t xml:space="preserve">, it is useful to contrast the approaches to understand the types of benefits and costs captured by each. </w:t>
      </w:r>
      <w:r w:rsidR="00BB5B55">
        <w:t>Table</w:t>
      </w:r>
      <w:r>
        <w:t xml:space="preserve"> </w:t>
      </w:r>
      <w:r w:rsidR="00BB5B55">
        <w:t>1</w:t>
      </w:r>
      <w:r>
        <w:t xml:space="preserve"> lists the broad categories of benefits assessed by conventional evaluation methods</w:t>
      </w:r>
      <w:r w:rsidR="00EF7A6F">
        <w:t xml:space="preserve"> (based on Mackie and </w:t>
      </w:r>
      <w:proofErr w:type="spellStart"/>
      <w:r w:rsidR="00EF7A6F">
        <w:t>Worsley</w:t>
      </w:r>
      <w:proofErr w:type="spellEnd"/>
      <w:r w:rsidR="00EF7A6F">
        <w:t xml:space="preserve"> 2013)</w:t>
      </w:r>
      <w:r>
        <w:t xml:space="preserve"> and assesses whether these benefits may be captured by local property value impacts arising from rapid transit projects. </w:t>
      </w:r>
    </w:p>
    <w:p w14:paraId="67085B4C" w14:textId="6C0F3DBE" w:rsidR="00E80F7D" w:rsidRDefault="00BA544B">
      <w:pPr>
        <w:pStyle w:val="BodyA"/>
      </w:pPr>
      <w:r>
        <w:t>As outlined in s</w:t>
      </w:r>
      <w:r w:rsidR="00E80F7D">
        <w:t xml:space="preserve">ection 2, urban economic theory suggests that changes to accessibility, productivity or environmental amenity resulting from rapid transit investment will </w:t>
      </w:r>
      <w:r w:rsidR="00D436F9">
        <w:t xml:space="preserve">be </w:t>
      </w:r>
      <w:r w:rsidR="00E80F7D">
        <w:t xml:space="preserve">reflected in property values in affected locations. However, </w:t>
      </w:r>
      <w:r w:rsidR="00BB5B55">
        <w:t>Table 1</w:t>
      </w:r>
      <w:r w:rsidR="00E80F7D">
        <w:t xml:space="preserve"> highlights that some types of benefits considered by conventional evaluation methods are unlikely to be reflected in property values. For example, changes in localised environmental externalities such as air and noise pollution </w:t>
      </w:r>
      <w:r w:rsidR="00D436F9">
        <w:t xml:space="preserve">will be reflected in property values but </w:t>
      </w:r>
      <w:r w:rsidR="00E80F7D">
        <w:t>global externalities such as climate change effects from carbon emissions</w:t>
      </w:r>
      <w:r w:rsidR="00D436F9">
        <w:t xml:space="preserve"> will not</w:t>
      </w:r>
      <w:r w:rsidR="00E80F7D">
        <w:t xml:space="preserve">. Some types of transport benefits such as </w:t>
      </w:r>
      <w:r w:rsidR="00D436F9">
        <w:t xml:space="preserve">road safety or </w:t>
      </w:r>
      <w:r w:rsidR="00E80F7D">
        <w:t xml:space="preserve">the public health effects of or walking and cycling uptake are </w:t>
      </w:r>
      <w:r w:rsidR="00D436F9">
        <w:t xml:space="preserve">also </w:t>
      </w:r>
      <w:r w:rsidR="00E80F7D">
        <w:t xml:space="preserve">unlikely to be reflected in local property values. </w:t>
      </w:r>
    </w:p>
    <w:p w14:paraId="3BB7C145" w14:textId="77777777" w:rsidR="00D436F9" w:rsidRDefault="00D436F9">
      <w:pPr>
        <w:pStyle w:val="BodyA"/>
      </w:pPr>
    </w:p>
    <w:p w14:paraId="325602F4" w14:textId="19AF10B4" w:rsidR="007753F2" w:rsidRDefault="00BB5B55">
      <w:pPr>
        <w:pStyle w:val="Captionstyle"/>
        <w:widowControl w:val="0"/>
      </w:pPr>
      <w:r>
        <w:lastRenderedPageBreak/>
        <w:t>Table 1</w:t>
      </w:r>
      <w:r w:rsidR="009E6CB5">
        <w:t xml:space="preserve">: Comparing types of benefits considered by conventional and land value analysis approaches to project evaluation </w:t>
      </w:r>
    </w:p>
    <w:tbl>
      <w:tblPr>
        <w:tblW w:w="9085" w:type="dxa"/>
        <w:tblInd w:w="108" w:type="dxa"/>
        <w:tblLayout w:type="fixed"/>
        <w:tblLook w:val="04A0" w:firstRow="1" w:lastRow="0" w:firstColumn="1" w:lastColumn="0" w:noHBand="0" w:noVBand="1"/>
      </w:tblPr>
      <w:tblGrid>
        <w:gridCol w:w="1560"/>
        <w:gridCol w:w="3118"/>
        <w:gridCol w:w="2410"/>
        <w:gridCol w:w="1990"/>
        <w:gridCol w:w="7"/>
      </w:tblGrid>
      <w:tr w:rsidR="00567B89" w:rsidRPr="00BB5B55" w14:paraId="1D881EC3" w14:textId="77777777" w:rsidTr="00BB5B55">
        <w:trPr>
          <w:gridAfter w:val="1"/>
          <w:wAfter w:w="7" w:type="dxa"/>
          <w:trHeight w:val="25"/>
        </w:trPr>
        <w:tc>
          <w:tcPr>
            <w:tcW w:w="4678" w:type="dxa"/>
            <w:gridSpan w:val="2"/>
            <w:vMerge w:val="restart"/>
            <w:tcBorders>
              <w:top w:val="single" w:sz="4" w:space="0" w:color="auto"/>
              <w:left w:val="single" w:sz="4" w:space="0" w:color="auto"/>
              <w:right w:val="single" w:sz="4" w:space="0" w:color="auto"/>
            </w:tcBorders>
            <w:shd w:val="clear" w:color="auto" w:fill="auto"/>
          </w:tcPr>
          <w:p w14:paraId="5008BC8F" w14:textId="77777777" w:rsidR="00567B89" w:rsidRPr="00BB5B55" w:rsidRDefault="00567B89" w:rsidP="00567B89">
            <w:pPr>
              <w:pStyle w:val="TableStyle2A"/>
              <w:rPr>
                <w:rFonts w:ascii="Arial" w:hAnsi="Arial"/>
                <w:b/>
                <w:bCs/>
              </w:rPr>
            </w:pPr>
            <w:r w:rsidRPr="00BB5B55">
              <w:rPr>
                <w:rFonts w:ascii="Arial" w:hAnsi="Arial"/>
                <w:b/>
                <w:bCs/>
              </w:rPr>
              <w:t>Type of Benefit</w:t>
            </w:r>
          </w:p>
        </w:tc>
        <w:tc>
          <w:tcPr>
            <w:tcW w:w="4400" w:type="dxa"/>
            <w:gridSpan w:val="2"/>
            <w:tcBorders>
              <w:top w:val="single" w:sz="4" w:space="0" w:color="auto"/>
              <w:left w:val="single" w:sz="4" w:space="0" w:color="auto"/>
              <w:bottom w:val="single" w:sz="4" w:space="0" w:color="auto"/>
              <w:right w:val="single" w:sz="4" w:space="0" w:color="auto"/>
            </w:tcBorders>
            <w:shd w:val="clear" w:color="auto" w:fill="auto"/>
          </w:tcPr>
          <w:p w14:paraId="7A36A5EB" w14:textId="481860E7" w:rsidR="00567B89" w:rsidRPr="00BB5B55" w:rsidRDefault="00567B89" w:rsidP="00567B89">
            <w:pPr>
              <w:pStyle w:val="TableStyle2A"/>
              <w:rPr>
                <w:rFonts w:ascii="Arial" w:hAnsi="Arial"/>
                <w:b/>
                <w:bCs/>
              </w:rPr>
            </w:pPr>
            <w:r w:rsidRPr="00BB5B55">
              <w:rPr>
                <w:rFonts w:ascii="Arial" w:hAnsi="Arial"/>
                <w:b/>
                <w:bCs/>
              </w:rPr>
              <w:t>Are benefits from rapid transit projects captured by:</w:t>
            </w:r>
          </w:p>
        </w:tc>
      </w:tr>
      <w:tr w:rsidR="00567B89" w:rsidRPr="00BB5B55" w14:paraId="521293E8" w14:textId="77777777" w:rsidTr="00BB5B55">
        <w:trPr>
          <w:gridAfter w:val="1"/>
          <w:wAfter w:w="7" w:type="dxa"/>
          <w:trHeight w:val="25"/>
        </w:trPr>
        <w:tc>
          <w:tcPr>
            <w:tcW w:w="4678" w:type="dxa"/>
            <w:gridSpan w:val="2"/>
            <w:vMerge/>
            <w:tcBorders>
              <w:left w:val="single" w:sz="4" w:space="0" w:color="auto"/>
              <w:bottom w:val="single" w:sz="4" w:space="0" w:color="auto"/>
              <w:right w:val="single" w:sz="4" w:space="0" w:color="auto"/>
            </w:tcBorders>
            <w:shd w:val="clear" w:color="auto" w:fill="auto"/>
          </w:tcPr>
          <w:p w14:paraId="0A8D48FD" w14:textId="77777777" w:rsidR="00567B89" w:rsidRPr="00BB5B55" w:rsidRDefault="00567B89" w:rsidP="00567B89">
            <w:pPr>
              <w:pStyle w:val="TableStyle2A"/>
              <w:rPr>
                <w:rFonts w:ascii="Arial" w:hAnsi="Arial"/>
                <w:b/>
                <w:bC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526C1B0" w14:textId="1AE15E46" w:rsidR="00567B89" w:rsidRPr="00BB5B55" w:rsidRDefault="00567B89" w:rsidP="00567B89">
            <w:pPr>
              <w:pStyle w:val="TableStyle2A"/>
              <w:rPr>
                <w:rFonts w:ascii="Arial" w:hAnsi="Arial"/>
                <w:b/>
                <w:bCs/>
              </w:rPr>
            </w:pPr>
            <w:r w:rsidRPr="00BB5B55">
              <w:rPr>
                <w:rFonts w:ascii="Arial" w:hAnsi="Arial"/>
                <w:b/>
                <w:bCs/>
              </w:rPr>
              <w:t>Conventional appraisal</w:t>
            </w: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6935DAAA" w14:textId="4BC6107A" w:rsidR="00567B89" w:rsidRPr="00BB5B55" w:rsidRDefault="00567B89" w:rsidP="00567B89">
            <w:pPr>
              <w:pStyle w:val="TableStyle2A"/>
              <w:rPr>
                <w:rFonts w:ascii="Arial" w:hAnsi="Arial"/>
                <w:b/>
                <w:bCs/>
              </w:rPr>
            </w:pPr>
            <w:r w:rsidRPr="00BB5B55">
              <w:rPr>
                <w:rFonts w:ascii="Arial" w:hAnsi="Arial"/>
                <w:b/>
                <w:bCs/>
              </w:rPr>
              <w:t>Property value analysis</w:t>
            </w:r>
          </w:p>
        </w:tc>
      </w:tr>
      <w:tr w:rsidR="00567B89" w14:paraId="44625E5F"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66"/>
        </w:trPr>
        <w:tc>
          <w:tcPr>
            <w:tcW w:w="156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10D205" w14:textId="77777777" w:rsidR="00567B89" w:rsidRDefault="00567B89" w:rsidP="00567B89">
            <w:pPr>
              <w:pStyle w:val="TableStyle2A"/>
            </w:pPr>
            <w:r>
              <w:t>Transport user benefits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55BF9D" w14:textId="77777777" w:rsidR="00567B89" w:rsidRPr="00BB5B55" w:rsidRDefault="00567B89" w:rsidP="00567B89">
            <w:pPr>
              <w:pStyle w:val="TableStyle2A"/>
              <w:rPr>
                <w:rFonts w:ascii="Arial" w:hAnsi="Arial"/>
              </w:rPr>
            </w:pPr>
            <w:r w:rsidRPr="00BB5B55">
              <w:rPr>
                <w:rFonts w:ascii="Arial" w:hAnsi="Arial"/>
              </w:rPr>
              <w:t>Travel time savings</w:t>
            </w:r>
          </w:p>
        </w:tc>
        <w:tc>
          <w:tcPr>
            <w:tcW w:w="2410" w:type="dxa"/>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14:paraId="4DA46E59" w14:textId="087303D9" w:rsidR="00567B89" w:rsidRPr="00BB5B55" w:rsidRDefault="00567B89" w:rsidP="00567B89">
            <w:pPr>
              <w:pStyle w:val="TableStyle2A"/>
              <w:jc w:val="center"/>
              <w:rPr>
                <w:rFonts w:ascii="Arial" w:hAnsi="Arial"/>
              </w:rPr>
            </w:pPr>
            <w:r w:rsidRPr="00BB5B55">
              <w:rPr>
                <w:rFonts w:ascii="Arial" w:hAnsi="Arial"/>
              </w:rPr>
              <w:t>Yes</w:t>
            </w:r>
          </w:p>
        </w:tc>
        <w:tc>
          <w:tcPr>
            <w:tcW w:w="1997" w:type="dxa"/>
            <w:gridSpan w:val="2"/>
            <w:tcBorders>
              <w:top w:val="single" w:sz="2" w:space="0" w:color="000000"/>
              <w:left w:val="single" w:sz="2" w:space="0" w:color="000000"/>
              <w:right w:val="single" w:sz="2" w:space="0" w:color="000000"/>
            </w:tcBorders>
            <w:shd w:val="clear" w:color="auto" w:fill="auto"/>
          </w:tcPr>
          <w:p w14:paraId="6EA4D3E8" w14:textId="3F67420C" w:rsidR="00567B89" w:rsidRPr="00BB5B55" w:rsidRDefault="00567B89" w:rsidP="00567B89">
            <w:pPr>
              <w:pStyle w:val="TableStyle2A"/>
              <w:jc w:val="center"/>
              <w:rPr>
                <w:rFonts w:ascii="Arial" w:hAnsi="Arial"/>
              </w:rPr>
            </w:pPr>
            <w:r w:rsidRPr="00BB5B55">
              <w:rPr>
                <w:rFonts w:ascii="Arial" w:hAnsi="Arial"/>
              </w:rPr>
              <w:t>Yes</w:t>
            </w:r>
          </w:p>
        </w:tc>
      </w:tr>
      <w:tr w:rsidR="00567B89" w14:paraId="5379B96F"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06"/>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0CCB3C5B"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D71A5D" w14:textId="77777777" w:rsidR="00567B89" w:rsidRPr="00BB5B55" w:rsidRDefault="00567B89" w:rsidP="00567B89">
            <w:pPr>
              <w:pStyle w:val="TableStyle2A"/>
              <w:rPr>
                <w:rFonts w:ascii="Arial" w:hAnsi="Arial"/>
              </w:rPr>
            </w:pPr>
            <w:r w:rsidRPr="00BB5B55">
              <w:rPr>
                <w:rFonts w:ascii="Arial" w:hAnsi="Arial"/>
              </w:rPr>
              <w:t>Reliability, comfort and crowding</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74BB267C" w14:textId="775D9242" w:rsidR="00567B89" w:rsidRPr="00BB5B55" w:rsidRDefault="00567B89" w:rsidP="00567B89">
            <w:pPr>
              <w:pStyle w:val="TableStyle2A"/>
              <w:jc w:val="center"/>
              <w:rPr>
                <w:rFonts w:ascii="Arial" w:hAnsi="Arial"/>
              </w:rPr>
            </w:pPr>
            <w:r w:rsidRPr="00BB5B55">
              <w:rPr>
                <w:rFonts w:ascii="Arial" w:hAnsi="Arial"/>
              </w:rPr>
              <w:t>Yes</w:t>
            </w:r>
          </w:p>
        </w:tc>
        <w:tc>
          <w:tcPr>
            <w:tcW w:w="1997" w:type="dxa"/>
            <w:gridSpan w:val="2"/>
            <w:tcBorders>
              <w:left w:val="single" w:sz="2" w:space="0" w:color="000000"/>
              <w:right w:val="single" w:sz="2" w:space="0" w:color="000000"/>
            </w:tcBorders>
            <w:shd w:val="clear" w:color="auto" w:fill="auto"/>
          </w:tcPr>
          <w:p w14:paraId="361B618A" w14:textId="5BC0EE41" w:rsidR="00567B89" w:rsidRPr="00BB5B55" w:rsidRDefault="00567B89" w:rsidP="00567B89">
            <w:pPr>
              <w:pStyle w:val="TableStyle2A"/>
              <w:jc w:val="center"/>
              <w:rPr>
                <w:rFonts w:ascii="Arial" w:hAnsi="Arial"/>
              </w:rPr>
            </w:pPr>
            <w:r w:rsidRPr="00BB5B55">
              <w:rPr>
                <w:rFonts w:ascii="Arial" w:hAnsi="Arial"/>
              </w:rPr>
              <w:t>Yes</w:t>
            </w:r>
          </w:p>
        </w:tc>
      </w:tr>
      <w:tr w:rsidR="00567B89" w14:paraId="3BDF9E07"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08"/>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7FCBAA0B"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475637" w14:textId="77777777" w:rsidR="00567B89" w:rsidRPr="00BB5B55" w:rsidRDefault="00567B89" w:rsidP="00567B89">
            <w:pPr>
              <w:pStyle w:val="TableStyle2A"/>
              <w:rPr>
                <w:rFonts w:ascii="Arial" w:hAnsi="Arial"/>
              </w:rPr>
            </w:pPr>
            <w:r w:rsidRPr="00BB5B55">
              <w:rPr>
                <w:rFonts w:ascii="Arial" w:hAnsi="Arial"/>
              </w:rPr>
              <w:t>Safety</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66389CFC" w14:textId="13810C42" w:rsidR="00567B89" w:rsidRPr="00BB5B55" w:rsidRDefault="00567B89" w:rsidP="00567B89">
            <w:pPr>
              <w:pStyle w:val="TableStyle2A"/>
              <w:jc w:val="center"/>
              <w:rPr>
                <w:rFonts w:ascii="Arial" w:hAnsi="Arial"/>
              </w:rPr>
            </w:pPr>
            <w:r w:rsidRPr="00BB5B55">
              <w:rPr>
                <w:rFonts w:ascii="Arial" w:hAnsi="Arial"/>
              </w:rPr>
              <w:t>Yes</w:t>
            </w:r>
          </w:p>
        </w:tc>
        <w:tc>
          <w:tcPr>
            <w:tcW w:w="1997" w:type="dxa"/>
            <w:gridSpan w:val="2"/>
            <w:tcBorders>
              <w:left w:val="single" w:sz="2" w:space="0" w:color="000000"/>
              <w:right w:val="single" w:sz="2" w:space="0" w:color="000000"/>
            </w:tcBorders>
            <w:shd w:val="clear" w:color="auto" w:fill="auto"/>
          </w:tcPr>
          <w:p w14:paraId="22C35D50" w14:textId="58BFEEE1" w:rsidR="00567B89" w:rsidRPr="00BB5B55" w:rsidRDefault="00567B89" w:rsidP="00567B89">
            <w:pPr>
              <w:pStyle w:val="TableStyle2A"/>
              <w:jc w:val="center"/>
              <w:rPr>
                <w:rFonts w:ascii="Arial" w:hAnsi="Arial"/>
              </w:rPr>
            </w:pPr>
            <w:r w:rsidRPr="00BB5B55">
              <w:rPr>
                <w:rFonts w:ascii="Arial" w:hAnsi="Arial"/>
              </w:rPr>
              <w:t>No</w:t>
            </w:r>
          </w:p>
        </w:tc>
      </w:tr>
      <w:tr w:rsidR="00567B89" w14:paraId="6DE6C323"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0CBE55D4"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EF4CFA" w14:textId="77777777" w:rsidR="00567B89" w:rsidRPr="00BB5B55" w:rsidRDefault="00567B89" w:rsidP="00567B89">
            <w:pPr>
              <w:pStyle w:val="TableStyle2A"/>
              <w:rPr>
                <w:rFonts w:ascii="Arial" w:hAnsi="Arial"/>
              </w:rPr>
            </w:pPr>
            <w:r w:rsidRPr="00BB5B55">
              <w:rPr>
                <w:rFonts w:ascii="Arial" w:hAnsi="Arial"/>
              </w:rPr>
              <w:t>Health and fitness</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43FC1712" w14:textId="563C22B3" w:rsidR="00567B89" w:rsidRPr="00BB5B55" w:rsidRDefault="00567B89" w:rsidP="00567B89">
            <w:pPr>
              <w:pStyle w:val="TableStyle2A"/>
              <w:jc w:val="center"/>
              <w:rPr>
                <w:rFonts w:ascii="Arial" w:hAnsi="Arial"/>
              </w:rPr>
            </w:pPr>
            <w:r w:rsidRPr="00BB5B55">
              <w:rPr>
                <w:rFonts w:ascii="Arial" w:hAnsi="Arial"/>
              </w:rPr>
              <w:t>Yes</w:t>
            </w:r>
          </w:p>
        </w:tc>
        <w:tc>
          <w:tcPr>
            <w:tcW w:w="1997" w:type="dxa"/>
            <w:gridSpan w:val="2"/>
            <w:tcBorders>
              <w:left w:val="single" w:sz="2" w:space="0" w:color="000000"/>
              <w:right w:val="single" w:sz="2" w:space="0" w:color="000000"/>
            </w:tcBorders>
            <w:shd w:val="clear" w:color="auto" w:fill="auto"/>
          </w:tcPr>
          <w:p w14:paraId="0368FE0C" w14:textId="5C0C1B9F" w:rsidR="00567B89" w:rsidRPr="00BB5B55" w:rsidRDefault="00567B89" w:rsidP="00567B89">
            <w:pPr>
              <w:pStyle w:val="TableStyle2A"/>
              <w:jc w:val="center"/>
              <w:rPr>
                <w:rFonts w:ascii="Arial" w:hAnsi="Arial"/>
              </w:rPr>
            </w:pPr>
            <w:r w:rsidRPr="00BB5B55">
              <w:rPr>
                <w:rFonts w:ascii="Arial" w:hAnsi="Arial"/>
              </w:rPr>
              <w:t>No</w:t>
            </w:r>
          </w:p>
        </w:tc>
      </w:tr>
      <w:tr w:rsidR="00567B89" w14:paraId="570376E8"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D8F912" w14:textId="1E5CD92E" w:rsidR="00567B89" w:rsidRDefault="00567B89" w:rsidP="00567B89">
            <w:pPr>
              <w:pStyle w:val="TableStyle2A"/>
            </w:pPr>
            <w:r>
              <w:t>Wider economic benefits</w:t>
            </w:r>
            <w:r w:rsidR="00DC0D26">
              <w:t xml:space="preserve"> (WEB)</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D7FBFC" w14:textId="77777777" w:rsidR="00567B89" w:rsidRPr="00BB5B55" w:rsidRDefault="00567B89" w:rsidP="00567B89">
            <w:pPr>
              <w:pStyle w:val="TableStyle2A"/>
              <w:rPr>
                <w:rFonts w:ascii="Arial" w:hAnsi="Arial"/>
              </w:rPr>
            </w:pPr>
            <w:r w:rsidRPr="00BB5B55">
              <w:rPr>
                <w:rFonts w:ascii="Arial" w:hAnsi="Arial"/>
              </w:rPr>
              <w:t>Agglomeration</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42463117" w14:textId="442A6AE4" w:rsidR="00567B89" w:rsidRPr="00BB5B55" w:rsidRDefault="00567B89" w:rsidP="00567B89">
            <w:pPr>
              <w:pStyle w:val="TableStyle2A"/>
              <w:jc w:val="center"/>
              <w:rPr>
                <w:rFonts w:ascii="Arial" w:hAnsi="Arial"/>
              </w:rPr>
            </w:pPr>
            <w:r w:rsidRPr="00BB5B55">
              <w:rPr>
                <w:rFonts w:ascii="Arial" w:hAnsi="Arial"/>
              </w:rPr>
              <w:t>Yes (if WEBs modeled)</w:t>
            </w:r>
          </w:p>
        </w:tc>
        <w:tc>
          <w:tcPr>
            <w:tcW w:w="1997" w:type="dxa"/>
            <w:gridSpan w:val="2"/>
            <w:tcBorders>
              <w:left w:val="single" w:sz="2" w:space="0" w:color="000000"/>
              <w:right w:val="single" w:sz="2" w:space="0" w:color="000000"/>
            </w:tcBorders>
            <w:shd w:val="clear" w:color="auto" w:fill="auto"/>
          </w:tcPr>
          <w:p w14:paraId="66EAC138" w14:textId="2A53961B" w:rsidR="00567B89" w:rsidRPr="00BB5B55" w:rsidRDefault="00567B89" w:rsidP="00567B89">
            <w:pPr>
              <w:pStyle w:val="TableStyle2A"/>
              <w:jc w:val="center"/>
              <w:rPr>
                <w:rFonts w:ascii="Arial" w:hAnsi="Arial"/>
              </w:rPr>
            </w:pPr>
            <w:r w:rsidRPr="00BB5B55">
              <w:rPr>
                <w:rFonts w:ascii="Arial" w:hAnsi="Arial"/>
              </w:rPr>
              <w:t>Yes</w:t>
            </w:r>
          </w:p>
        </w:tc>
      </w:tr>
      <w:tr w:rsidR="00567B89" w14:paraId="7D98EFBE"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3AF57BE5"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9EE352" w14:textId="77777777" w:rsidR="00567B89" w:rsidRPr="00BB5B55" w:rsidRDefault="00567B89" w:rsidP="00567B89">
            <w:pPr>
              <w:pStyle w:val="TableStyle2A"/>
              <w:rPr>
                <w:rFonts w:ascii="Arial" w:hAnsi="Arial"/>
              </w:rPr>
            </w:pPr>
            <w:r w:rsidRPr="00BB5B55">
              <w:rPr>
                <w:rFonts w:ascii="Arial" w:hAnsi="Arial"/>
              </w:rPr>
              <w:t>Imperfect competition</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49210E76" w14:textId="4913BD9D" w:rsidR="00567B89" w:rsidRPr="00BB5B55" w:rsidRDefault="00567B89" w:rsidP="00567B89">
            <w:pPr>
              <w:pStyle w:val="TableStyle2A"/>
              <w:jc w:val="center"/>
              <w:rPr>
                <w:rFonts w:ascii="Arial" w:hAnsi="Arial"/>
              </w:rPr>
            </w:pPr>
            <w:r w:rsidRPr="00BB5B55">
              <w:rPr>
                <w:rFonts w:ascii="Arial" w:hAnsi="Arial"/>
              </w:rPr>
              <w:t>Yes (if WEBs modeled)</w:t>
            </w:r>
          </w:p>
        </w:tc>
        <w:tc>
          <w:tcPr>
            <w:tcW w:w="1997" w:type="dxa"/>
            <w:gridSpan w:val="2"/>
            <w:tcBorders>
              <w:left w:val="single" w:sz="2" w:space="0" w:color="000000"/>
              <w:right w:val="single" w:sz="2" w:space="0" w:color="000000"/>
            </w:tcBorders>
            <w:shd w:val="clear" w:color="auto" w:fill="auto"/>
          </w:tcPr>
          <w:p w14:paraId="4883A68B" w14:textId="52015B51" w:rsidR="00567B89" w:rsidRPr="00BB5B55" w:rsidRDefault="00567B89" w:rsidP="00567B89">
            <w:pPr>
              <w:pStyle w:val="TableStyle2A"/>
              <w:jc w:val="center"/>
              <w:rPr>
                <w:rFonts w:ascii="Arial" w:hAnsi="Arial"/>
              </w:rPr>
            </w:pPr>
            <w:r w:rsidRPr="00BB5B55">
              <w:rPr>
                <w:rFonts w:ascii="Arial" w:hAnsi="Arial"/>
              </w:rPr>
              <w:t>Yes</w:t>
            </w:r>
          </w:p>
        </w:tc>
      </w:tr>
      <w:tr w:rsidR="00567B89" w14:paraId="008348A6"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6F3256A3"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932ACEA" w14:textId="77777777" w:rsidR="00567B89" w:rsidRPr="00BB5B55" w:rsidRDefault="00567B89" w:rsidP="00567B89">
            <w:pPr>
              <w:pStyle w:val="TableStyle2A"/>
              <w:rPr>
                <w:rFonts w:ascii="Arial" w:hAnsi="Arial"/>
              </w:rPr>
            </w:pPr>
            <w:r w:rsidRPr="00BB5B55">
              <w:rPr>
                <w:rFonts w:ascii="Arial" w:hAnsi="Arial"/>
              </w:rPr>
              <w:t>Land-use change/ regeneration</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3930421E" w14:textId="486C7535" w:rsidR="00567B89" w:rsidRPr="00BB5B55" w:rsidRDefault="00567B89" w:rsidP="00567B89">
            <w:pPr>
              <w:pStyle w:val="TableStyle2A"/>
              <w:jc w:val="center"/>
              <w:rPr>
                <w:rFonts w:ascii="Arial" w:hAnsi="Arial"/>
              </w:rPr>
            </w:pPr>
            <w:r w:rsidRPr="00BB5B55">
              <w:rPr>
                <w:rFonts w:ascii="Arial" w:hAnsi="Arial"/>
              </w:rPr>
              <w:t>Infrequently</w:t>
            </w:r>
          </w:p>
        </w:tc>
        <w:tc>
          <w:tcPr>
            <w:tcW w:w="1997" w:type="dxa"/>
            <w:gridSpan w:val="2"/>
            <w:tcBorders>
              <w:left w:val="single" w:sz="2" w:space="0" w:color="000000"/>
              <w:right w:val="single" w:sz="2" w:space="0" w:color="000000"/>
            </w:tcBorders>
            <w:shd w:val="clear" w:color="auto" w:fill="auto"/>
          </w:tcPr>
          <w:p w14:paraId="28207708" w14:textId="55D9D2F4" w:rsidR="00567B89" w:rsidRPr="00BB5B55" w:rsidRDefault="00567B89" w:rsidP="00567B89">
            <w:pPr>
              <w:pStyle w:val="TableStyle2A"/>
              <w:jc w:val="center"/>
              <w:rPr>
                <w:rFonts w:ascii="Arial" w:hAnsi="Arial"/>
              </w:rPr>
            </w:pPr>
            <w:r w:rsidRPr="00BB5B55">
              <w:rPr>
                <w:rFonts w:ascii="Arial" w:hAnsi="Arial"/>
              </w:rPr>
              <w:t>Yes</w:t>
            </w:r>
          </w:p>
        </w:tc>
      </w:tr>
      <w:tr w:rsidR="00567B89" w14:paraId="6E019F45"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786BA82" w14:textId="77777777" w:rsidR="00567B89" w:rsidRDefault="00567B89" w:rsidP="00567B89">
            <w:pPr>
              <w:pStyle w:val="TableStyle2A"/>
            </w:pPr>
            <w:r>
              <w:t>Environmental benefits</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ADDB88" w14:textId="77777777" w:rsidR="00567B89" w:rsidRPr="00BB5B55" w:rsidRDefault="00567B89" w:rsidP="00567B89">
            <w:pPr>
              <w:pStyle w:val="TableStyle2A"/>
              <w:rPr>
                <w:rFonts w:ascii="Arial" w:hAnsi="Arial"/>
              </w:rPr>
            </w:pPr>
            <w:r w:rsidRPr="00BB5B55">
              <w:rPr>
                <w:rFonts w:ascii="Arial" w:hAnsi="Arial"/>
              </w:rPr>
              <w:t>Noise pollution</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479CEB6E" w14:textId="207EAF9D" w:rsidR="00567B89" w:rsidRPr="00BB5B55" w:rsidRDefault="00567B89" w:rsidP="00567B89">
            <w:pPr>
              <w:pStyle w:val="TableStyle2A"/>
              <w:jc w:val="center"/>
              <w:rPr>
                <w:rFonts w:ascii="Arial" w:hAnsi="Arial"/>
              </w:rPr>
            </w:pPr>
            <w:r w:rsidRPr="00BB5B55">
              <w:rPr>
                <w:rFonts w:ascii="Arial" w:hAnsi="Arial"/>
              </w:rPr>
              <w:t>Yes</w:t>
            </w:r>
          </w:p>
        </w:tc>
        <w:tc>
          <w:tcPr>
            <w:tcW w:w="1997" w:type="dxa"/>
            <w:gridSpan w:val="2"/>
            <w:tcBorders>
              <w:left w:val="single" w:sz="2" w:space="0" w:color="000000"/>
              <w:right w:val="single" w:sz="2" w:space="0" w:color="000000"/>
            </w:tcBorders>
            <w:shd w:val="clear" w:color="auto" w:fill="auto"/>
          </w:tcPr>
          <w:p w14:paraId="26CBA83B" w14:textId="73732D8D" w:rsidR="00567B89" w:rsidRPr="00BB5B55" w:rsidRDefault="00567B89" w:rsidP="00567B89">
            <w:pPr>
              <w:pStyle w:val="TableStyle2A"/>
              <w:jc w:val="center"/>
              <w:rPr>
                <w:rFonts w:ascii="Arial" w:hAnsi="Arial"/>
              </w:rPr>
            </w:pPr>
            <w:r w:rsidRPr="00BB5B55">
              <w:rPr>
                <w:rFonts w:ascii="Arial" w:hAnsi="Arial"/>
              </w:rPr>
              <w:t>Yes</w:t>
            </w:r>
          </w:p>
        </w:tc>
      </w:tr>
      <w:tr w:rsidR="00567B89" w14:paraId="6F4A37B1"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4F4810FA"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C02ADA" w14:textId="77777777" w:rsidR="00567B89" w:rsidRPr="00BB5B55" w:rsidRDefault="00567B89" w:rsidP="00567B89">
            <w:pPr>
              <w:pStyle w:val="TableStyle2A"/>
              <w:rPr>
                <w:rFonts w:ascii="Arial" w:hAnsi="Arial"/>
              </w:rPr>
            </w:pPr>
            <w:r w:rsidRPr="00BB5B55">
              <w:rPr>
                <w:rFonts w:ascii="Arial" w:hAnsi="Arial"/>
              </w:rPr>
              <w:t>Air pollution</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1BBCA3A9" w14:textId="3723CCC3" w:rsidR="00567B89" w:rsidRPr="00BB5B55" w:rsidRDefault="00567B89" w:rsidP="00567B89">
            <w:pPr>
              <w:pStyle w:val="TableStyle2A"/>
              <w:jc w:val="center"/>
              <w:rPr>
                <w:rFonts w:ascii="Arial" w:hAnsi="Arial"/>
              </w:rPr>
            </w:pPr>
            <w:r w:rsidRPr="00BB5B55">
              <w:rPr>
                <w:rFonts w:ascii="Arial" w:hAnsi="Arial"/>
              </w:rPr>
              <w:t>Yes</w:t>
            </w:r>
          </w:p>
        </w:tc>
        <w:tc>
          <w:tcPr>
            <w:tcW w:w="1997" w:type="dxa"/>
            <w:gridSpan w:val="2"/>
            <w:tcBorders>
              <w:left w:val="single" w:sz="2" w:space="0" w:color="000000"/>
              <w:right w:val="single" w:sz="2" w:space="0" w:color="000000"/>
            </w:tcBorders>
            <w:shd w:val="clear" w:color="auto" w:fill="auto"/>
          </w:tcPr>
          <w:p w14:paraId="5938B37A" w14:textId="03D941D5" w:rsidR="00567B89" w:rsidRPr="00BB5B55" w:rsidRDefault="00567B89" w:rsidP="00567B89">
            <w:pPr>
              <w:pStyle w:val="TableStyle2A"/>
              <w:jc w:val="center"/>
              <w:rPr>
                <w:rFonts w:ascii="Arial" w:hAnsi="Arial"/>
              </w:rPr>
            </w:pPr>
            <w:r w:rsidRPr="00BB5B55">
              <w:rPr>
                <w:rFonts w:ascii="Arial" w:hAnsi="Arial"/>
              </w:rPr>
              <w:t>Yes</w:t>
            </w:r>
          </w:p>
        </w:tc>
      </w:tr>
      <w:tr w:rsidR="00567B89" w14:paraId="69F29DC1"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0D47827B"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6561DB" w14:textId="77777777" w:rsidR="00567B89" w:rsidRPr="00BB5B55" w:rsidRDefault="00567B89" w:rsidP="00567B89">
            <w:pPr>
              <w:pStyle w:val="TableStyle2A"/>
              <w:rPr>
                <w:rFonts w:ascii="Arial" w:hAnsi="Arial"/>
              </w:rPr>
            </w:pPr>
            <w:r w:rsidRPr="00BB5B55">
              <w:rPr>
                <w:rFonts w:ascii="Arial" w:hAnsi="Arial"/>
              </w:rPr>
              <w:t>Carbon emissions</w:t>
            </w:r>
          </w:p>
        </w:tc>
        <w:tc>
          <w:tcPr>
            <w:tcW w:w="2410" w:type="dxa"/>
            <w:tcBorders>
              <w:left w:val="single" w:sz="2" w:space="0" w:color="000000"/>
              <w:right w:val="single" w:sz="2" w:space="0" w:color="000000"/>
            </w:tcBorders>
            <w:shd w:val="clear" w:color="auto" w:fill="auto"/>
            <w:tcMar>
              <w:top w:w="80" w:type="dxa"/>
              <w:left w:w="80" w:type="dxa"/>
              <w:bottom w:w="80" w:type="dxa"/>
              <w:right w:w="80" w:type="dxa"/>
            </w:tcMar>
          </w:tcPr>
          <w:p w14:paraId="633AF7E0" w14:textId="40BF381C" w:rsidR="00567B89" w:rsidRPr="00BB5B55" w:rsidRDefault="00567B89" w:rsidP="00567B89">
            <w:pPr>
              <w:pStyle w:val="TableStyle2A"/>
              <w:jc w:val="center"/>
              <w:rPr>
                <w:rFonts w:ascii="Arial" w:hAnsi="Arial"/>
              </w:rPr>
            </w:pPr>
            <w:r w:rsidRPr="00BB5B55">
              <w:rPr>
                <w:rFonts w:ascii="Arial" w:hAnsi="Arial"/>
              </w:rPr>
              <w:t>Yes</w:t>
            </w:r>
          </w:p>
        </w:tc>
        <w:tc>
          <w:tcPr>
            <w:tcW w:w="1997" w:type="dxa"/>
            <w:gridSpan w:val="2"/>
            <w:tcBorders>
              <w:left w:val="single" w:sz="2" w:space="0" w:color="000000"/>
              <w:right w:val="single" w:sz="2" w:space="0" w:color="000000"/>
            </w:tcBorders>
            <w:shd w:val="clear" w:color="auto" w:fill="auto"/>
          </w:tcPr>
          <w:p w14:paraId="4B67D8BD" w14:textId="02D858B3" w:rsidR="00567B89" w:rsidRPr="00BB5B55" w:rsidRDefault="00567B89" w:rsidP="00567B89">
            <w:pPr>
              <w:pStyle w:val="TableStyle2A"/>
              <w:jc w:val="center"/>
              <w:rPr>
                <w:rFonts w:ascii="Arial" w:hAnsi="Arial"/>
              </w:rPr>
            </w:pPr>
            <w:r w:rsidRPr="00BB5B55">
              <w:rPr>
                <w:rFonts w:ascii="Arial" w:hAnsi="Arial"/>
              </w:rPr>
              <w:t>No</w:t>
            </w:r>
          </w:p>
        </w:tc>
      </w:tr>
      <w:tr w:rsidR="00567B89" w14:paraId="3B1063FD" w14:textId="77777777" w:rsidTr="00BB5B55">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84"/>
        </w:trPr>
        <w:tc>
          <w:tcPr>
            <w:tcW w:w="1560" w:type="dxa"/>
            <w:vMerge/>
            <w:tcBorders>
              <w:top w:val="single" w:sz="2" w:space="0" w:color="000000"/>
              <w:left w:val="single" w:sz="2" w:space="0" w:color="000000"/>
              <w:bottom w:val="single" w:sz="2" w:space="0" w:color="000000"/>
              <w:right w:val="single" w:sz="2" w:space="0" w:color="000000"/>
            </w:tcBorders>
            <w:shd w:val="clear" w:color="auto" w:fill="auto"/>
          </w:tcPr>
          <w:p w14:paraId="1B9ADFD0" w14:textId="77777777" w:rsidR="00567B89" w:rsidRDefault="00567B89" w:rsidP="00567B89"/>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88FB37" w14:textId="77777777" w:rsidR="00567B89" w:rsidRPr="00BB5B55" w:rsidRDefault="00567B89" w:rsidP="00567B89">
            <w:pPr>
              <w:pStyle w:val="TableStyle2A"/>
              <w:rPr>
                <w:rFonts w:ascii="Arial" w:hAnsi="Arial"/>
              </w:rPr>
            </w:pPr>
            <w:r w:rsidRPr="00BB5B55">
              <w:rPr>
                <w:rFonts w:ascii="Arial" w:hAnsi="Arial"/>
              </w:rPr>
              <w:t xml:space="preserve">Environmental capital </w:t>
            </w:r>
          </w:p>
        </w:tc>
        <w:tc>
          <w:tcPr>
            <w:tcW w:w="2410" w:type="dxa"/>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7D4B6D" w14:textId="40CF8C4A" w:rsidR="00567B89" w:rsidRPr="00BB5B55" w:rsidRDefault="00567B89" w:rsidP="00567B89">
            <w:pPr>
              <w:pStyle w:val="TableStyle2A"/>
              <w:jc w:val="center"/>
              <w:rPr>
                <w:rFonts w:ascii="Arial" w:hAnsi="Arial"/>
              </w:rPr>
            </w:pPr>
            <w:r w:rsidRPr="00BB5B55">
              <w:rPr>
                <w:rFonts w:ascii="Arial" w:hAnsi="Arial"/>
              </w:rPr>
              <w:t>No</w:t>
            </w:r>
          </w:p>
        </w:tc>
        <w:tc>
          <w:tcPr>
            <w:tcW w:w="1997" w:type="dxa"/>
            <w:gridSpan w:val="2"/>
            <w:tcBorders>
              <w:left w:val="single" w:sz="2" w:space="0" w:color="000000"/>
              <w:bottom w:val="single" w:sz="2" w:space="0" w:color="000000"/>
              <w:right w:val="single" w:sz="2" w:space="0" w:color="000000"/>
            </w:tcBorders>
            <w:shd w:val="clear" w:color="auto" w:fill="auto"/>
          </w:tcPr>
          <w:p w14:paraId="651A3FD9" w14:textId="7545D4BD" w:rsidR="00567B89" w:rsidRPr="00BB5B55" w:rsidRDefault="00567B89" w:rsidP="00567B89">
            <w:pPr>
              <w:pStyle w:val="TableStyle2A"/>
              <w:jc w:val="center"/>
              <w:rPr>
                <w:rFonts w:ascii="Arial" w:hAnsi="Arial"/>
              </w:rPr>
            </w:pPr>
            <w:r w:rsidRPr="00BB5B55">
              <w:rPr>
                <w:rFonts w:ascii="Arial" w:hAnsi="Arial"/>
              </w:rPr>
              <w:t>No</w:t>
            </w:r>
          </w:p>
        </w:tc>
      </w:tr>
    </w:tbl>
    <w:p w14:paraId="235F253A" w14:textId="77777777" w:rsidR="007753F2" w:rsidRDefault="009E6CB5">
      <w:pPr>
        <w:pStyle w:val="SectionHeadingLevel2"/>
      </w:pPr>
      <w:r>
        <w:t xml:space="preserve">3.2 Previous use of property value impact analysis for project evaluation </w:t>
      </w:r>
    </w:p>
    <w:p w14:paraId="1423F0BF" w14:textId="57D90981" w:rsidR="007753F2" w:rsidRDefault="005A18CF">
      <w:pPr>
        <w:pStyle w:val="BodyA"/>
      </w:pPr>
      <w:r>
        <w:t>Here, we</w:t>
      </w:r>
      <w:r w:rsidR="009E6CB5">
        <w:t xml:space="preserve"> briefly </w:t>
      </w:r>
      <w:r>
        <w:t>consider</w:t>
      </w:r>
      <w:r w:rsidR="009E6CB5">
        <w:t xml:space="preserve"> three examples where property value analysis has been undertaken ahead of a project construction and has to varying extents contributed to project decision-making. </w:t>
      </w:r>
      <w:r w:rsidR="0077485E">
        <w:t>In all cases the analysis was not part of formal project evaluation procedures and in two cases a key motivation was to investigate the potential for project financing using property value capture mechanisms.</w:t>
      </w:r>
    </w:p>
    <w:p w14:paraId="07EBBA1C" w14:textId="0C3B62B7" w:rsidR="007753F2" w:rsidRDefault="009E6CB5">
      <w:pPr>
        <w:pStyle w:val="BodyA"/>
        <w:tabs>
          <w:tab w:val="left" w:pos="180"/>
        </w:tabs>
      </w:pPr>
      <w:r>
        <w:t xml:space="preserve">GVA </w:t>
      </w:r>
      <w:proofErr w:type="spellStart"/>
      <w:r>
        <w:t>Grimley</w:t>
      </w:r>
      <w:proofErr w:type="spellEnd"/>
      <w:r>
        <w:t xml:space="preserve"> (2012) forecast property value uplift impacts fr</w:t>
      </w:r>
      <w:r w:rsidR="0077485E">
        <w:t xml:space="preserve">om the </w:t>
      </w:r>
      <w:r w:rsidR="00464D74" w:rsidRPr="00332AF5">
        <w:rPr>
          <w:rFonts w:hAnsi="Arial"/>
          <w:bCs/>
        </w:rPr>
        <w:t>£</w:t>
      </w:r>
      <w:r w:rsidR="00464D74" w:rsidRPr="00332AF5">
        <w:t>15.9 billion</w:t>
      </w:r>
      <w:r w:rsidR="00464D74">
        <w:t xml:space="preserve"> </w:t>
      </w:r>
      <w:r w:rsidR="0077485E">
        <w:t xml:space="preserve">London </w:t>
      </w:r>
      <w:proofErr w:type="spellStart"/>
      <w:r w:rsidR="0077485E">
        <w:t>Crossrail</w:t>
      </w:r>
      <w:proofErr w:type="spellEnd"/>
      <w:r w:rsidR="0077485E">
        <w:t xml:space="preserve"> project,</w:t>
      </w:r>
      <w:r>
        <w:t xml:space="preserve"> due to open in 2018. </w:t>
      </w:r>
      <w:r w:rsidR="0075727B">
        <w:t>A</w:t>
      </w:r>
      <w:r>
        <w:t xml:space="preserve"> review of academic studies on property value impacts of rail infrastructure </w:t>
      </w:r>
      <w:r w:rsidR="0075727B">
        <w:t>was used to identify</w:t>
      </w:r>
      <w:r>
        <w:t xml:space="preserve"> a </w:t>
      </w:r>
      <w:r>
        <w:rPr>
          <w:rFonts w:hAnsi="Arial"/>
        </w:rPr>
        <w:t>‘</w:t>
      </w:r>
      <w:r>
        <w:t>value uplift factor</w:t>
      </w:r>
      <w:r>
        <w:rPr>
          <w:rFonts w:hAnsi="Arial"/>
        </w:rPr>
        <w:t xml:space="preserve">’ </w:t>
      </w:r>
      <w:r w:rsidR="0075727B">
        <w:rPr>
          <w:rFonts w:hAnsi="Arial"/>
        </w:rPr>
        <w:t xml:space="preserve">applied </w:t>
      </w:r>
      <w:r>
        <w:t xml:space="preserve">to </w:t>
      </w:r>
      <w:r w:rsidR="0077485E">
        <w:t xml:space="preserve">500m and 1000m radii </w:t>
      </w:r>
      <w:r>
        <w:rPr>
          <w:rFonts w:hAnsi="Arial"/>
        </w:rPr>
        <w:t>‘</w:t>
      </w:r>
      <w:r>
        <w:t>zone</w:t>
      </w:r>
      <w:r w:rsidR="00D436F9">
        <w:t>s</w:t>
      </w:r>
      <w:r>
        <w:t xml:space="preserve"> of influence</w:t>
      </w:r>
      <w:r>
        <w:rPr>
          <w:rFonts w:hAnsi="Arial"/>
        </w:rPr>
        <w:t xml:space="preserve">’ </w:t>
      </w:r>
      <w:r w:rsidR="008F458A">
        <w:rPr>
          <w:rFonts w:hAnsi="Arial"/>
        </w:rPr>
        <w:t>or catchment</w:t>
      </w:r>
      <w:r w:rsidR="00D436F9">
        <w:rPr>
          <w:rFonts w:hAnsi="Arial"/>
        </w:rPr>
        <w:t xml:space="preserve"> areas</w:t>
      </w:r>
      <w:r w:rsidR="008F458A">
        <w:rPr>
          <w:rFonts w:hAnsi="Arial"/>
        </w:rPr>
        <w:t xml:space="preserve"> </w:t>
      </w:r>
      <w:r>
        <w:t xml:space="preserve">around stations. </w:t>
      </w:r>
      <w:r w:rsidR="0077485E">
        <w:t>U</w:t>
      </w:r>
      <w:r>
        <w:t xml:space="preserve">plift factors of 27.5% - 30% were applied to </w:t>
      </w:r>
      <w:r w:rsidR="0077485E">
        <w:t xml:space="preserve">baseline </w:t>
      </w:r>
      <w:r>
        <w:t>residential property</w:t>
      </w:r>
      <w:r w:rsidR="0077485E">
        <w:t xml:space="preserve"> values</w:t>
      </w:r>
      <w:r w:rsidR="00D436F9">
        <w:t xml:space="preserve"> and 0.5%-</w:t>
      </w:r>
      <w:r>
        <w:t>27.5% applied to commercial property</w:t>
      </w:r>
      <w:r w:rsidR="00464D74">
        <w:t>.</w:t>
      </w:r>
      <w:r>
        <w:t xml:space="preserve"> The study </w:t>
      </w:r>
      <w:r w:rsidRPr="00332AF5">
        <w:t xml:space="preserve">forecast </w:t>
      </w:r>
      <w:r w:rsidRPr="00332AF5">
        <w:rPr>
          <w:rFonts w:hAnsi="Arial"/>
          <w:bCs/>
        </w:rPr>
        <w:t>£</w:t>
      </w:r>
      <w:r w:rsidRPr="00332AF5">
        <w:t>5.5 billion</w:t>
      </w:r>
      <w:r>
        <w:t xml:space="preserve"> of property value </w:t>
      </w:r>
      <w:r w:rsidR="00464D74">
        <w:t xml:space="preserve">uplift </w:t>
      </w:r>
      <w:r>
        <w:t xml:space="preserve">between 2012 and 2022. </w:t>
      </w:r>
    </w:p>
    <w:p w14:paraId="794F80F0" w14:textId="605E666E" w:rsidR="007753F2" w:rsidRDefault="009E6CB5">
      <w:pPr>
        <w:pStyle w:val="BodyA"/>
        <w:tabs>
          <w:tab w:val="left" w:pos="180"/>
        </w:tabs>
      </w:pPr>
      <w:r>
        <w:t>The Canadian Urban Institute (2010) forecast property value uplift resulting from a planned light rail line in Hamilton, Ontario, Canada.</w:t>
      </w:r>
      <w:r w:rsidR="00464D74">
        <w:t xml:space="preserve"> </w:t>
      </w:r>
      <w:r>
        <w:t xml:space="preserve">A 400m radius around stations was used </w:t>
      </w:r>
      <w:r w:rsidR="00464D74">
        <w:t xml:space="preserve">as the </w:t>
      </w:r>
      <w:r w:rsidR="008F458A">
        <w:t>catchment</w:t>
      </w:r>
      <w:r w:rsidR="00464D74">
        <w:t xml:space="preserve"> around 16 stations on the 14km route </w:t>
      </w:r>
      <w:r>
        <w:t>and an uplift factor of 2% applied to baseline values. An uplift factor of 4% was applied to properties within one street block of stations, while higher values of 8%-14% were applied to vacant land. The study forecast $CAD280 million of additional property value around the stations over a 15 year period. C</w:t>
      </w:r>
      <w:r w:rsidR="0075727B">
        <w:t>apital costs for the project were</w:t>
      </w:r>
      <w:r>
        <w:t xml:space="preserve"> estimated at $CAD1billion.</w:t>
      </w:r>
    </w:p>
    <w:p w14:paraId="7A125CF0" w14:textId="3E98285F" w:rsidR="007753F2" w:rsidRPr="00BB5B55" w:rsidRDefault="008F458A">
      <w:pPr>
        <w:pStyle w:val="BodyA"/>
        <w:tabs>
          <w:tab w:val="left" w:pos="180"/>
        </w:tabs>
        <w:rPr>
          <w:rFonts w:hAnsi="Arial"/>
        </w:rPr>
      </w:pPr>
      <w:r w:rsidRPr="00BB5B55">
        <w:rPr>
          <w:rFonts w:hAnsi="Arial"/>
        </w:rPr>
        <w:t xml:space="preserve">Siemens AG/ </w:t>
      </w:r>
      <w:r w:rsidR="009E6CB5" w:rsidRPr="00BB5B55">
        <w:rPr>
          <w:rFonts w:hAnsi="Arial"/>
        </w:rPr>
        <w:t>City of Turku (2012) forecast property valu</w:t>
      </w:r>
      <w:r w:rsidR="0075727B" w:rsidRPr="00BB5B55">
        <w:rPr>
          <w:rFonts w:hAnsi="Arial"/>
        </w:rPr>
        <w:t xml:space="preserve">e uplift </w:t>
      </w:r>
      <w:r w:rsidR="00464D74" w:rsidRPr="00BB5B55">
        <w:rPr>
          <w:rFonts w:hAnsi="Arial"/>
        </w:rPr>
        <w:t>for</w:t>
      </w:r>
      <w:r w:rsidR="009E6CB5" w:rsidRPr="00BB5B55">
        <w:rPr>
          <w:rFonts w:hAnsi="Arial"/>
        </w:rPr>
        <w:t xml:space="preserve"> a </w:t>
      </w:r>
      <w:r w:rsidR="00464D74" w:rsidRPr="00BB5B55">
        <w:rPr>
          <w:rFonts w:hAnsi="Arial"/>
        </w:rPr>
        <w:t xml:space="preserve">planned 40km light rail </w:t>
      </w:r>
      <w:r w:rsidR="009E6CB5" w:rsidRPr="00BB5B55">
        <w:rPr>
          <w:rFonts w:hAnsi="Arial"/>
        </w:rPr>
        <w:t xml:space="preserve">system </w:t>
      </w:r>
      <w:r w:rsidR="00464D74" w:rsidRPr="00BB5B55">
        <w:rPr>
          <w:rFonts w:hAnsi="Arial"/>
        </w:rPr>
        <w:t>in the Finnish city</w:t>
      </w:r>
      <w:r w:rsidR="00BB5B55" w:rsidRPr="00BB5B55">
        <w:rPr>
          <w:rFonts w:hAnsi="Arial"/>
        </w:rPr>
        <w:t>, costing an estimated €770–€820 million</w:t>
      </w:r>
      <w:r w:rsidR="009E6CB5" w:rsidRPr="00BB5B55">
        <w:rPr>
          <w:rFonts w:hAnsi="Arial"/>
        </w:rPr>
        <w:t xml:space="preserve">. </w:t>
      </w:r>
      <w:r w:rsidR="00BB5B55" w:rsidRPr="00BB5B55">
        <w:rPr>
          <w:rFonts w:hAnsi="Arial"/>
        </w:rPr>
        <w:t>Uplift factors of 2%-</w:t>
      </w:r>
      <w:r w:rsidR="00464D74" w:rsidRPr="00BB5B55">
        <w:rPr>
          <w:rFonts w:hAnsi="Arial"/>
        </w:rPr>
        <w:t xml:space="preserve">3% were applied to properties within 800m of the stations. Sensitivity testing applied a wider range of uplift factors to </w:t>
      </w:r>
      <w:r w:rsidR="00BB5B55" w:rsidRPr="00BB5B55">
        <w:rPr>
          <w:rFonts w:hAnsi="Arial"/>
        </w:rPr>
        <w:t>developed land (0</w:t>
      </w:r>
      <w:r w:rsidR="00464D74" w:rsidRPr="00BB5B55">
        <w:rPr>
          <w:rFonts w:hAnsi="Arial"/>
        </w:rPr>
        <w:t>–</w:t>
      </w:r>
      <w:r w:rsidR="00BB5B55" w:rsidRPr="00BB5B55">
        <w:rPr>
          <w:rFonts w:hAnsi="Arial"/>
        </w:rPr>
        <w:t>11%) and undeveloped land (0</w:t>
      </w:r>
      <w:r w:rsidR="00464D74" w:rsidRPr="00BB5B55">
        <w:rPr>
          <w:rFonts w:hAnsi="Arial"/>
        </w:rPr>
        <w:t xml:space="preserve">–34.5%). The </w:t>
      </w:r>
      <w:r w:rsidR="00464D74" w:rsidRPr="00BB5B55">
        <w:rPr>
          <w:rFonts w:hAnsi="Arial"/>
        </w:rPr>
        <w:lastRenderedPageBreak/>
        <w:t>study predicted total property value increase above baseline levels of €</w:t>
      </w:r>
      <w:r w:rsidR="00BB5B55" w:rsidRPr="00BB5B55">
        <w:rPr>
          <w:rFonts w:hAnsi="Arial"/>
        </w:rPr>
        <w:t>480</w:t>
      </w:r>
      <w:r w:rsidR="00464D74" w:rsidRPr="00BB5B55">
        <w:rPr>
          <w:rFonts w:hAnsi="Arial"/>
        </w:rPr>
        <w:t xml:space="preserve">–€850 million under conservative estimates and up to €1.68 billion under higher-impact scenarios. </w:t>
      </w:r>
    </w:p>
    <w:p w14:paraId="2D8456CE" w14:textId="109527D4" w:rsidR="007753F2" w:rsidRPr="00593671" w:rsidRDefault="00BB5B55">
      <w:pPr>
        <w:pStyle w:val="BodyA"/>
        <w:tabs>
          <w:tab w:val="left" w:pos="180"/>
        </w:tabs>
      </w:pPr>
      <w:r>
        <w:t xml:space="preserve">While no consistent, widely </w:t>
      </w:r>
      <w:r w:rsidR="005A18CF">
        <w:t>agreed framework for analysis has emerged to date, there are a number of methodological similarities between these studies. All three</w:t>
      </w:r>
      <w:r w:rsidR="0075727B">
        <w:t xml:space="preserve"> </w:t>
      </w:r>
      <w:r w:rsidR="00464D74">
        <w:t>apply</w:t>
      </w:r>
      <w:r w:rsidR="009E6CB5" w:rsidRPr="00593671">
        <w:t xml:space="preserve"> differential property value uplift factors to commercial and resident</w:t>
      </w:r>
      <w:r>
        <w:t>ial properties. All methods use</w:t>
      </w:r>
      <w:r w:rsidR="009E6CB5" w:rsidRPr="00593671">
        <w:t xml:space="preserve"> a review of academic literature to determine uplift factors. </w:t>
      </w:r>
      <w:r w:rsidR="005A18CF">
        <w:t>However, there</w:t>
      </w:r>
      <w:r w:rsidR="0075727B">
        <w:t xml:space="preserve"> is c</w:t>
      </w:r>
      <w:r w:rsidR="009E6CB5" w:rsidRPr="00593671">
        <w:t xml:space="preserve">onsiderable variation </w:t>
      </w:r>
      <w:r w:rsidR="005A18CF">
        <w:t>in the size of catchments</w:t>
      </w:r>
      <w:r w:rsidR="009E6CB5" w:rsidRPr="00593671">
        <w:t xml:space="preserve"> and </w:t>
      </w:r>
      <w:r>
        <w:t>level</w:t>
      </w:r>
      <w:r w:rsidR="009E6CB5" w:rsidRPr="00593671">
        <w:t xml:space="preserve"> of uplift applied to baseline property values.</w:t>
      </w:r>
    </w:p>
    <w:p w14:paraId="4902DACD" w14:textId="77777777" w:rsidR="007753F2" w:rsidRDefault="009E6CB5">
      <w:pPr>
        <w:pStyle w:val="SectionHeadingLevel1"/>
      </w:pPr>
      <w:r>
        <w:t>4. Developing an evaluation tool using reference class forecasting for property value uplift factors</w:t>
      </w:r>
    </w:p>
    <w:p w14:paraId="07071462" w14:textId="6BD7977E" w:rsidR="007753F2" w:rsidRDefault="009E6CB5">
      <w:pPr>
        <w:pStyle w:val="BodyA"/>
      </w:pPr>
      <w:r>
        <w:t xml:space="preserve">In this </w:t>
      </w:r>
      <w:r w:rsidR="00194CCC">
        <w:t xml:space="preserve">section </w:t>
      </w:r>
      <w:r>
        <w:t xml:space="preserve">we briefly outline a general </w:t>
      </w:r>
      <w:r w:rsidR="005A18CF">
        <w:t xml:space="preserve">framework for property value analysis </w:t>
      </w:r>
      <w:r>
        <w:t>before discussing the use of reference class forecasting techniques to specify uplift factors for application across a range of different project</w:t>
      </w:r>
      <w:r w:rsidR="00D436F9">
        <w:t>s</w:t>
      </w:r>
      <w:r>
        <w:t xml:space="preserve">. </w:t>
      </w:r>
    </w:p>
    <w:p w14:paraId="35A5A98D" w14:textId="7DA0F701" w:rsidR="007753F2" w:rsidRDefault="009E6CB5">
      <w:pPr>
        <w:pStyle w:val="SectionHeadingLevel2"/>
      </w:pPr>
      <w:r>
        <w:t>4.1 A method for project evaluation using property value analysis</w:t>
      </w:r>
    </w:p>
    <w:p w14:paraId="2F6657AC" w14:textId="261E869D" w:rsidR="007753F2" w:rsidRDefault="009E6CB5">
      <w:pPr>
        <w:pStyle w:val="BodyA"/>
      </w:pPr>
      <w:r>
        <w:t xml:space="preserve">Consistent with the previous practice (outlined in section 3.2) we identify a five-step process for using property value analysis to </w:t>
      </w:r>
      <w:r w:rsidR="00196540">
        <w:t>evaluate rapid transit projects</w:t>
      </w:r>
      <w:r>
        <w:t>:</w:t>
      </w:r>
    </w:p>
    <w:p w14:paraId="043E25F9" w14:textId="68E4A835" w:rsidR="007753F2" w:rsidRDefault="009E6CB5" w:rsidP="00E747C6">
      <w:pPr>
        <w:pStyle w:val="BodyA"/>
        <w:numPr>
          <w:ilvl w:val="0"/>
          <w:numId w:val="8"/>
        </w:numPr>
        <w:tabs>
          <w:tab w:val="num" w:pos="720"/>
        </w:tabs>
        <w:ind w:left="720" w:hanging="360"/>
        <w:rPr>
          <w:rFonts w:eastAsia="Arial" w:hAnsi="Arial" w:cs="Arial"/>
        </w:rPr>
      </w:pPr>
      <w:r>
        <w:t>Identify the project</w:t>
      </w:r>
      <w:r>
        <w:rPr>
          <w:rFonts w:ascii="Arial Unicode MS" w:hAnsi="Arial"/>
        </w:rPr>
        <w:t>’</w:t>
      </w:r>
      <w:r>
        <w:t>s zone of influence</w:t>
      </w:r>
      <w:r w:rsidR="008F458A">
        <w:t xml:space="preserve"> or catchment area</w:t>
      </w:r>
    </w:p>
    <w:p w14:paraId="5F4375AE" w14:textId="0E834C89" w:rsidR="007753F2" w:rsidRDefault="009E6CB5" w:rsidP="00E747C6">
      <w:pPr>
        <w:pStyle w:val="BodyA"/>
        <w:numPr>
          <w:ilvl w:val="0"/>
          <w:numId w:val="8"/>
        </w:numPr>
        <w:tabs>
          <w:tab w:val="num" w:pos="720"/>
        </w:tabs>
        <w:ind w:left="720" w:hanging="360"/>
        <w:rPr>
          <w:rFonts w:eastAsia="Arial" w:hAnsi="Arial" w:cs="Arial"/>
        </w:rPr>
      </w:pPr>
      <w:r>
        <w:t xml:space="preserve">Identify baseline property values within the </w:t>
      </w:r>
      <w:r w:rsidR="008F458A">
        <w:t>catchment</w:t>
      </w:r>
    </w:p>
    <w:p w14:paraId="3A068534" w14:textId="6F4264DB" w:rsidR="007753F2" w:rsidRDefault="009E6CB5" w:rsidP="00E747C6">
      <w:pPr>
        <w:pStyle w:val="BodyA"/>
        <w:numPr>
          <w:ilvl w:val="0"/>
          <w:numId w:val="8"/>
        </w:numPr>
        <w:tabs>
          <w:tab w:val="num" w:pos="720"/>
        </w:tabs>
        <w:ind w:left="720" w:hanging="360"/>
        <w:rPr>
          <w:rFonts w:eastAsia="Arial" w:hAnsi="Arial" w:cs="Arial"/>
        </w:rPr>
      </w:pPr>
      <w:r>
        <w:t xml:space="preserve">Identify appropriate value uplift factors to apply to properties in the </w:t>
      </w:r>
      <w:r w:rsidR="008F458A">
        <w:t>catchment</w:t>
      </w:r>
      <w:r>
        <w:t xml:space="preserve"> </w:t>
      </w:r>
    </w:p>
    <w:p w14:paraId="2730F26F" w14:textId="3FBE7E8F" w:rsidR="007753F2" w:rsidRDefault="009E6CB5" w:rsidP="00E747C6">
      <w:pPr>
        <w:pStyle w:val="BodyA"/>
        <w:numPr>
          <w:ilvl w:val="0"/>
          <w:numId w:val="8"/>
        </w:numPr>
        <w:tabs>
          <w:tab w:val="num" w:pos="720"/>
        </w:tabs>
        <w:ind w:left="720" w:hanging="360"/>
        <w:rPr>
          <w:rFonts w:eastAsia="Arial" w:hAnsi="Arial" w:cs="Arial"/>
        </w:rPr>
      </w:pPr>
      <w:r>
        <w:t xml:space="preserve">Apply value uplift factors to properties in the </w:t>
      </w:r>
      <w:r w:rsidR="008F458A">
        <w:t>catchment</w:t>
      </w:r>
    </w:p>
    <w:p w14:paraId="1BD15E4C" w14:textId="7F8F1EEA" w:rsidR="007753F2" w:rsidRDefault="005A18CF" w:rsidP="00E747C6">
      <w:pPr>
        <w:pStyle w:val="BodyA"/>
        <w:numPr>
          <w:ilvl w:val="0"/>
          <w:numId w:val="8"/>
        </w:numPr>
        <w:tabs>
          <w:tab w:val="num" w:pos="720"/>
        </w:tabs>
        <w:ind w:left="720" w:hanging="360"/>
        <w:rPr>
          <w:rFonts w:eastAsia="Arial" w:hAnsi="Arial" w:cs="Arial"/>
        </w:rPr>
      </w:pPr>
      <w:r>
        <w:t xml:space="preserve">Compare </w:t>
      </w:r>
      <w:r w:rsidR="009E6CB5">
        <w:t>total property value uplift (benefits) with project costs.</w:t>
      </w:r>
    </w:p>
    <w:p w14:paraId="4A1B5882" w14:textId="11ED781F" w:rsidR="007753F2" w:rsidRDefault="009E6CB5">
      <w:pPr>
        <w:pStyle w:val="BodyA"/>
      </w:pPr>
      <w:r>
        <w:t>Our innovation in this process is most relevant to Step 3 in the use of reference class forecasting techniques to systematically identify appropriat</w:t>
      </w:r>
      <w:r w:rsidR="003F09C1">
        <w:t xml:space="preserve">e value uplift factors based on the </w:t>
      </w:r>
      <w:r>
        <w:t xml:space="preserve">particularities of the project and its context. The other steps in the process involve relatively </w:t>
      </w:r>
      <w:r w:rsidR="00D436F9">
        <w:t>straightforward</w:t>
      </w:r>
      <w:r>
        <w:t xml:space="preserve"> methodologies</w:t>
      </w:r>
      <w:r w:rsidR="00464D74">
        <w:t xml:space="preserve"> and are discussed </w:t>
      </w:r>
      <w:r w:rsidR="00D436F9">
        <w:t xml:space="preserve">briefly </w:t>
      </w:r>
      <w:r w:rsidR="00464D74">
        <w:t xml:space="preserve">in our case </w:t>
      </w:r>
      <w:r w:rsidR="00BA544B">
        <w:t>study in s</w:t>
      </w:r>
      <w:r w:rsidR="008F458A">
        <w:t>ection 5.</w:t>
      </w:r>
    </w:p>
    <w:p w14:paraId="10AE7001" w14:textId="04610D1E" w:rsidR="007753F2" w:rsidRDefault="00D436F9">
      <w:pPr>
        <w:pStyle w:val="SectionHeadingLevel2"/>
      </w:pPr>
      <w:r>
        <w:t>4.2</w:t>
      </w:r>
      <w:r w:rsidR="009E6CB5">
        <w:t xml:space="preserve"> Reference class forecasting for property value uplift factors </w:t>
      </w:r>
    </w:p>
    <w:p w14:paraId="0F0B89FE" w14:textId="0A8074CB" w:rsidR="007753F2" w:rsidRDefault="009E6CB5">
      <w:pPr>
        <w:pStyle w:val="BodyA"/>
      </w:pPr>
      <w:r>
        <w:t>In determining value uplift factors for ex-ante evaluation of new rapid transit infrastructure, other studies have all referred to empirical ex-post assessments of property value impacts from projects</w:t>
      </w:r>
      <w:r w:rsidR="003F09C1">
        <w:t xml:space="preserve"> in different contexts</w:t>
      </w:r>
      <w:r>
        <w:t xml:space="preserve"> (Canadian Institut</w:t>
      </w:r>
      <w:r w:rsidR="005A6B56">
        <w:t xml:space="preserve">e of Urbanism 2010, Siemens AG/ </w:t>
      </w:r>
      <w:r>
        <w:t>City of Turku</w:t>
      </w:r>
      <w:r w:rsidR="003F09C1">
        <w:t xml:space="preserve"> </w:t>
      </w:r>
      <w:r w:rsidR="005A6B56">
        <w:t>2012</w:t>
      </w:r>
      <w:r>
        <w:t xml:space="preserve">, GVA </w:t>
      </w:r>
      <w:proofErr w:type="spellStart"/>
      <w:r>
        <w:t>Grimley</w:t>
      </w:r>
      <w:proofErr w:type="spellEnd"/>
      <w:r>
        <w:t xml:space="preserve"> 2012). We follow this method and </w:t>
      </w:r>
      <w:proofErr w:type="spellStart"/>
      <w:r>
        <w:t>systematise</w:t>
      </w:r>
      <w:proofErr w:type="spellEnd"/>
      <w:r>
        <w:t xml:space="preserve"> it in line with reference class forecasting techniques.</w:t>
      </w:r>
    </w:p>
    <w:p w14:paraId="48B98E85" w14:textId="632C06F8" w:rsidR="007753F2" w:rsidRDefault="009E6CB5">
      <w:pPr>
        <w:pStyle w:val="BodyA"/>
      </w:pPr>
      <w:r>
        <w:t xml:space="preserve">Reference class forecasting involves taking </w:t>
      </w:r>
      <w:r>
        <w:rPr>
          <w:rFonts w:ascii="Arial Unicode MS" w:hAnsi="Arial"/>
        </w:rPr>
        <w:t>‘</w:t>
      </w:r>
      <w:r>
        <w:t>an outside view</w:t>
      </w:r>
      <w:r>
        <w:rPr>
          <w:rFonts w:ascii="Arial Unicode MS" w:hAnsi="Arial"/>
        </w:rPr>
        <w:t>’</w:t>
      </w:r>
      <w:r>
        <w:rPr>
          <w:rFonts w:ascii="Arial Unicode MS" w:hAnsi="Arial"/>
        </w:rPr>
        <w:t xml:space="preserve"> </w:t>
      </w:r>
      <w:r>
        <w:t>on the estimated costs or benefits of a particular project for the purposes of reducing inaccuracy and bias in the context of decision-maki</w:t>
      </w:r>
      <w:r w:rsidR="008C4456">
        <w:t>ng uncertainties (</w:t>
      </w:r>
      <w:proofErr w:type="spellStart"/>
      <w:r w:rsidR="008C4456">
        <w:t>Flyvbjerg</w:t>
      </w:r>
      <w:proofErr w:type="spellEnd"/>
      <w:r w:rsidR="008C4456">
        <w:t xml:space="preserve"> 2009</w:t>
      </w:r>
      <w:r>
        <w:t xml:space="preserve">). </w:t>
      </w:r>
      <w:proofErr w:type="spellStart"/>
      <w:r>
        <w:t>Flyvbjerg</w:t>
      </w:r>
      <w:proofErr w:type="spellEnd"/>
      <w:r>
        <w:t xml:space="preserve"> explains that: </w:t>
      </w:r>
      <w:r>
        <w:rPr>
          <w:rFonts w:ascii="Arial Unicode MS" w:hAnsi="Arial"/>
        </w:rPr>
        <w:t>“</w:t>
      </w:r>
      <w:r>
        <w:t xml:space="preserve">the outside view is established on the basis of information from a class of similar projects </w:t>
      </w:r>
      <w:r>
        <w:rPr>
          <w:rFonts w:ascii="Arial Unicode MS" w:hAnsi="Arial"/>
        </w:rPr>
        <w:t>…</w:t>
      </w:r>
      <w:r>
        <w:rPr>
          <w:rFonts w:ascii="Arial Unicode MS" w:hAnsi="Arial"/>
        </w:rPr>
        <w:t xml:space="preserve"> </w:t>
      </w:r>
      <w:r>
        <w:t>[and] places the project in a statistical distribution of outcomes from this class of reference projects</w:t>
      </w:r>
      <w:r>
        <w:rPr>
          <w:rFonts w:ascii="Arial Unicode MS" w:hAnsi="Arial"/>
        </w:rPr>
        <w:t>”</w:t>
      </w:r>
      <w:r>
        <w:rPr>
          <w:rFonts w:ascii="Arial Unicode MS" w:hAnsi="Arial"/>
        </w:rPr>
        <w:t xml:space="preserve"> </w:t>
      </w:r>
      <w:r>
        <w:t>(Ibid</w:t>
      </w:r>
      <w:proofErr w:type="gramStart"/>
      <w:r>
        <w:t>.,</w:t>
      </w:r>
      <w:proofErr w:type="gramEnd"/>
      <w:r>
        <w:t xml:space="preserve"> p. 354). The technique is suggested as particularly applicable to forecasting transport infrastructure construction costs, but in this instance we apply the technique to forecasting levels of benefits from transport infrastructure. </w:t>
      </w:r>
    </w:p>
    <w:p w14:paraId="119D5578" w14:textId="32E78FC4" w:rsidR="007753F2" w:rsidRDefault="009E6CB5">
      <w:pPr>
        <w:pStyle w:val="BodyA"/>
      </w:pPr>
      <w:r>
        <w:t xml:space="preserve">Reference class forecasting generally involves three steps: establishing a reference class of comparable projects, comparing forecast levels of benefits or costs of the project being evaluated against the distribution of levels found in the reference class, and finally adjusting forecasts for the project to better reflect the reference class. We broadly follow this approach and establish a reference class </w:t>
      </w:r>
      <w:r>
        <w:rPr>
          <w:rFonts w:ascii="Arial Unicode MS" w:hAnsi="Arial"/>
        </w:rPr>
        <w:t>‘</w:t>
      </w:r>
      <w:r>
        <w:t>long-list</w:t>
      </w:r>
      <w:r>
        <w:rPr>
          <w:rFonts w:ascii="Arial Unicode MS" w:hAnsi="Arial"/>
        </w:rPr>
        <w:t>’</w:t>
      </w:r>
      <w:r>
        <w:rPr>
          <w:rFonts w:ascii="Arial Unicode MS" w:hAnsi="Arial"/>
        </w:rPr>
        <w:t xml:space="preserve"> </w:t>
      </w:r>
      <w:r>
        <w:t xml:space="preserve">of rapid transit projects where property value uplift factors have been determined. We then further </w:t>
      </w:r>
      <w:r w:rsidR="00D436F9">
        <w:t>filter</w:t>
      </w:r>
      <w:r>
        <w:t xml:space="preserve"> our long-list into reference class </w:t>
      </w:r>
      <w:r>
        <w:rPr>
          <w:rFonts w:ascii="Arial Unicode MS" w:hAnsi="Arial"/>
        </w:rPr>
        <w:t>‘</w:t>
      </w:r>
      <w:r>
        <w:t>short lists</w:t>
      </w:r>
      <w:r>
        <w:rPr>
          <w:rFonts w:ascii="Arial Unicode MS" w:hAnsi="Arial"/>
        </w:rPr>
        <w:t>’</w:t>
      </w:r>
      <w:r>
        <w:rPr>
          <w:rFonts w:ascii="Arial Unicode MS" w:hAnsi="Arial"/>
        </w:rPr>
        <w:t xml:space="preserve"> </w:t>
      </w:r>
      <w:r>
        <w:t xml:space="preserve">based on two key variables we understand to be central in impacting levels of property </w:t>
      </w:r>
      <w:r>
        <w:lastRenderedPageBreak/>
        <w:t>value uplift: rapid transit infrastructure type and property type. Finally, we determine a distribution of likely outcomes for property value uplift to be used as guidance for project evaluation</w:t>
      </w:r>
      <w:r w:rsidR="00094FB6">
        <w:t>, taking into account other seco</w:t>
      </w:r>
      <w:r w:rsidR="00D436F9">
        <w:t xml:space="preserve">ndary factors such as city size, geographic </w:t>
      </w:r>
      <w:r w:rsidR="00094FB6">
        <w:t>region and detailed project characteristics</w:t>
      </w:r>
      <w:r>
        <w:t>.</w:t>
      </w:r>
    </w:p>
    <w:p w14:paraId="5BE48534" w14:textId="77777777" w:rsidR="007753F2" w:rsidRDefault="009E6CB5">
      <w:pPr>
        <w:pStyle w:val="BodyA"/>
      </w:pPr>
      <w:r>
        <w:t xml:space="preserve">We collate a reference class of rapid transit infrastructure property value impacts by reviewing academic literature on the topic. We confine our literature search to studies published after 1995 and to those that specify percentage property value uplift factors attributable to the construction of new (or substantially improved) rapid transit projects. We consider relevant rapid transit projects to include urban commuter rail, metro rail, </w:t>
      </w:r>
      <w:proofErr w:type="gramStart"/>
      <w:r>
        <w:t>light</w:t>
      </w:r>
      <w:proofErr w:type="gramEnd"/>
      <w:r>
        <w:t xml:space="preserve"> rail and bus rapid transit infrastructure. We include both studies of individual lines and broader systems including multiple rapid transit lines within a single metropolitan area. Our search aimed to provide findings from a broad diversity of geographic contexts (including global location and city size), impacts on different types of property (residential and commercial) and impacts arising from different types of rapid transit infrastructure.</w:t>
      </w:r>
    </w:p>
    <w:p w14:paraId="787351B0" w14:textId="2F907276" w:rsidR="007753F2" w:rsidRDefault="009E6CB5" w:rsidP="0077485E">
      <w:pPr>
        <w:pStyle w:val="BodyA"/>
      </w:pPr>
      <w:proofErr w:type="gramStart"/>
      <w:r>
        <w:t>Our literature search result in a collation of 36 studies that document 40 rapid transit projects/ systems in 25 cities throughout North America, Europe, East Asia, Australia and South America.</w:t>
      </w:r>
      <w:proofErr w:type="gramEnd"/>
      <w:r>
        <w:t xml:space="preserve"> We collect 61 distinct property impact </w:t>
      </w:r>
      <w:proofErr w:type="gramStart"/>
      <w:r>
        <w:t>values,</w:t>
      </w:r>
      <w:proofErr w:type="gramEnd"/>
      <w:r>
        <w:t xml:space="preserve"> with some studies reporting multiple values based on different property types or i</w:t>
      </w:r>
      <w:r w:rsidR="00477383">
        <w:t>nfrastructure projects.</w:t>
      </w:r>
      <w:r w:rsidR="00380D17">
        <w:t xml:space="preserve"> The studies are dominated by findings from North America, with 45 of the 61 values from 21 projects in North American cities.</w:t>
      </w:r>
      <w:r w:rsidR="00477383">
        <w:t xml:space="preserve"> </w:t>
      </w:r>
      <w:r>
        <w:t xml:space="preserve">The studies report property impact values from projects in a range of city sizes, with the largest having a population of 25.4 million (Seoul, Korea) and the smallest a population of 1.1 million (Buffalo, USA). The 61 property impact values obtained include 10 from commuter rail projects/ systems, 12 from metro rail, 29 from light rail and 10 from BRT projects. </w:t>
      </w:r>
    </w:p>
    <w:p w14:paraId="7481D533" w14:textId="5DF3B398" w:rsidR="007753F2" w:rsidRDefault="009E6CB5" w:rsidP="0077485E">
      <w:pPr>
        <w:pStyle w:val="BodyA"/>
      </w:pPr>
      <w:r>
        <w:t>The 61 property impact values in the reference class reflect either a single average value reported for a project or</w:t>
      </w:r>
      <w:r w:rsidR="00094FB6">
        <w:t>, if multiple values were reported,</w:t>
      </w:r>
      <w:r>
        <w:t xml:space="preserve"> a </w:t>
      </w:r>
      <w:r w:rsidR="00094FB6">
        <w:t xml:space="preserve">simple </w:t>
      </w:r>
      <w:r>
        <w:t xml:space="preserve">average </w:t>
      </w:r>
      <w:r w:rsidR="00094FB6">
        <w:t>of minimum and maximum reported values</w:t>
      </w:r>
      <w:r>
        <w:t xml:space="preserve"> if multiple values were provided for a single infrastructure project.</w:t>
      </w:r>
      <w:r w:rsidR="0077485E">
        <w:t xml:space="preserve"> </w:t>
      </w:r>
      <w:r>
        <w:t xml:space="preserve">The range of reported property impact values was large, from a minimum of -30% impact on property values around a station to 300%. The range of the 61 average values used </w:t>
      </w:r>
      <w:r w:rsidR="007853FF">
        <w:t>in the reference class was -21%-</w:t>
      </w:r>
      <w:r>
        <w:t>150%</w:t>
      </w:r>
      <w:r w:rsidR="00477383">
        <w:t>, with the majority positive values</w:t>
      </w:r>
      <w:r>
        <w:t xml:space="preserve">. The distribution of property impact values in the reference </w:t>
      </w:r>
      <w:r w:rsidR="007853FF">
        <w:t xml:space="preserve">class is illustrated in Figure 2 </w:t>
      </w:r>
      <w:r w:rsidR="005A6B56" w:rsidRPr="005A6B56">
        <w:rPr>
          <w:bCs/>
        </w:rPr>
        <w:t>(2 highest and 2 lowest values excluded)</w:t>
      </w:r>
      <w:r>
        <w:t xml:space="preserve">. </w:t>
      </w:r>
      <w:r w:rsidR="00094FB6">
        <w:t xml:space="preserve">Reassuringly, it appears to follow a normal distribution, which Mohammad et al (2013) interpret as evidence that there is no bias against publishing negative results. </w:t>
      </w:r>
      <w:r>
        <w:t xml:space="preserve">The majority of the values fall between 0 - 15%. 12 of the 61 values reflected negative property value impacts and only 7 of the averaged values reflected property value uplift of more than 25%. The mean of the 61 values was 11.8% and the median 5.0%. </w:t>
      </w:r>
      <w:r w:rsidR="0041778D">
        <w:t xml:space="preserve">The impact values included in the reference class are derived from studies with a range of methodologies with </w:t>
      </w:r>
      <w:r w:rsidR="00380D17">
        <w:t>the majority assessing impact through hedonic price modeling at a single point in time and other</w:t>
      </w:r>
      <w:r w:rsidR="0041778D">
        <w:t xml:space="preserve"> studies assessing impact </w:t>
      </w:r>
      <w:r w:rsidR="00380D17">
        <w:t>by undertaking</w:t>
      </w:r>
      <w:r w:rsidR="0041778D">
        <w:t xml:space="preserve"> </w:t>
      </w:r>
      <w:r w:rsidR="0041778D">
        <w:t>‘</w:t>
      </w:r>
      <w:r w:rsidR="0041778D">
        <w:t>before/after</w:t>
      </w:r>
      <w:r w:rsidR="0041778D">
        <w:t>’</w:t>
      </w:r>
      <w:r w:rsidR="0041778D">
        <w:t xml:space="preserve"> analysis </w:t>
      </w:r>
      <w:r w:rsidR="00380D17">
        <w:t>over a range of time periods</w:t>
      </w:r>
      <w:r w:rsidR="0041778D">
        <w:t>.</w:t>
      </w:r>
      <w:r w:rsidR="0032769B">
        <w:t xml:space="preserve"> </w:t>
      </w:r>
      <w:r w:rsidR="0032769B">
        <w:t>‘</w:t>
      </w:r>
      <w:r w:rsidR="0032769B">
        <w:t>Before/after</w:t>
      </w:r>
      <w:r w:rsidR="0032769B">
        <w:t>’</w:t>
      </w:r>
      <w:r w:rsidR="0032769B">
        <w:t xml:space="preserve"> analyses tended to focus on a relatively short time period around investments </w:t>
      </w:r>
      <w:r w:rsidR="0032769B">
        <w:t>–</w:t>
      </w:r>
      <w:r w:rsidR="0032769B">
        <w:t xml:space="preserve"> ten years or less.</w:t>
      </w:r>
    </w:p>
    <w:p w14:paraId="1510D32D" w14:textId="130146D7" w:rsidR="00196540" w:rsidRDefault="00196540" w:rsidP="0077485E">
      <w:pPr>
        <w:pStyle w:val="BodyA"/>
      </w:pPr>
      <w:r>
        <w:t xml:space="preserve">These findings are consistent with other meta-analyses. Mohammad et al (2013) conduct a meta-analysis of 23 empirical studies on the property value impacts of rail infrastructure (not including BRT), including 102 observations. They observe a wide variation in estimated property value impacts from -45% to more than 100%. They report a mean from 102 observations of 8.0% and a median of 5.4%. </w:t>
      </w:r>
      <w:proofErr w:type="spellStart"/>
      <w:r>
        <w:t>Debrezion</w:t>
      </w:r>
      <w:proofErr w:type="spellEnd"/>
      <w:r>
        <w:t xml:space="preserve"> (2007) conduct a meta-analysis on studies of the property value impacts of rail stations (again, not including BRT). They report results from 57 observations and similarly report a wide range of property impact values from -61%-145%. They report a mean uplift value of 8.6%. These two meta-analyses report findings that are broadly in line with values found in our reference class. Our average uplift of 11.8% is slightly higher than the 8.0% and 8.6% reported in these analyses and our median value of 5.0% is very similar to the 5.4% reported by Mohammad et al (2013). </w:t>
      </w:r>
    </w:p>
    <w:p w14:paraId="40847689" w14:textId="77777777" w:rsidR="00531DE8" w:rsidRDefault="00531DE8" w:rsidP="0077485E">
      <w:pPr>
        <w:pStyle w:val="BodyA"/>
      </w:pPr>
    </w:p>
    <w:p w14:paraId="33DCFC71" w14:textId="6DF9DD61" w:rsidR="007753F2" w:rsidRPr="005A6B56" w:rsidRDefault="009E6CB5" w:rsidP="0077485E">
      <w:pPr>
        <w:pStyle w:val="BodyA"/>
        <w:rPr>
          <w:b/>
          <w:bCs/>
          <w:sz w:val="20"/>
          <w:szCs w:val="20"/>
        </w:rPr>
      </w:pPr>
      <w:r w:rsidRPr="005A6B56">
        <w:rPr>
          <w:b/>
          <w:bCs/>
          <w:sz w:val="20"/>
          <w:szCs w:val="20"/>
        </w:rPr>
        <w:t>Figure</w:t>
      </w:r>
      <w:r w:rsidR="007853FF">
        <w:rPr>
          <w:b/>
          <w:bCs/>
          <w:sz w:val="20"/>
          <w:szCs w:val="20"/>
        </w:rPr>
        <w:t xml:space="preserve"> 2</w:t>
      </w:r>
      <w:r w:rsidRPr="005A6B56">
        <w:rPr>
          <w:b/>
          <w:bCs/>
          <w:sz w:val="20"/>
          <w:szCs w:val="20"/>
        </w:rPr>
        <w:t>: Distribution of property impact values in the reference class</w:t>
      </w:r>
      <w:r w:rsidR="00477383" w:rsidRPr="005A6B56">
        <w:rPr>
          <w:b/>
          <w:bCs/>
          <w:sz w:val="20"/>
          <w:szCs w:val="20"/>
        </w:rPr>
        <w:t xml:space="preserve"> </w:t>
      </w:r>
    </w:p>
    <w:p w14:paraId="3FCD38B8" w14:textId="77777777" w:rsidR="007753F2" w:rsidRDefault="00477383">
      <w:pPr>
        <w:pStyle w:val="BodyA"/>
      </w:pPr>
      <w:r>
        <w:rPr>
          <w:noProof/>
        </w:rPr>
        <w:drawing>
          <wp:inline distT="0" distB="0" distL="0" distR="0" wp14:anchorId="76FB43A0" wp14:editId="5968AA40">
            <wp:extent cx="5716905" cy="3173611"/>
            <wp:effectExtent l="0" t="0" r="23495" b="273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7B171B" w14:textId="0F7F89D9" w:rsidR="00622556" w:rsidRDefault="009E6CB5" w:rsidP="00622556">
      <w:pPr>
        <w:pStyle w:val="BodyA"/>
      </w:pPr>
      <w:r>
        <w:t xml:space="preserve">These average uplift values could be used as central points of reference for ex-ante project evaluation purposes. However, the very wide variation of observed </w:t>
      </w:r>
      <w:r w:rsidR="00D436F9">
        <w:t xml:space="preserve">values </w:t>
      </w:r>
      <w:r>
        <w:t xml:space="preserve">suggests caution should be used in applying average values and other explanatory variables should be investigated to improve the reliability of forecasting (Williamson et al 2012). We </w:t>
      </w:r>
      <w:r w:rsidR="00094FB6">
        <w:t>therefore recommend</w:t>
      </w:r>
      <w:r>
        <w:t xml:space="preserve"> a second step in reference class </w:t>
      </w:r>
      <w:r w:rsidR="00094FB6">
        <w:t>analysis</w:t>
      </w:r>
      <w:r>
        <w:t xml:space="preserve">, reducing our reference class of 61 values to sub-sets of values and their distributions for different types of rapid transit infrastructure (for example Light Rail and Commuter rail) and different types of property (residential and commercial). </w:t>
      </w:r>
      <w:r w:rsidR="00094FB6">
        <w:t xml:space="preserve">These </w:t>
      </w:r>
      <w:r w:rsidR="00094FB6">
        <w:t>“</w:t>
      </w:r>
      <w:r w:rsidR="00094FB6">
        <w:t>short lists</w:t>
      </w:r>
      <w:r w:rsidR="00094FB6">
        <w:t>”</w:t>
      </w:r>
      <w:r w:rsidR="00094FB6">
        <w:t xml:space="preserve"> can then be narrow further to account for other variables of interest, such as city size and structure or scheme characteristics. </w:t>
      </w:r>
      <w:r w:rsidR="00622556">
        <w:t>However, we note that d</w:t>
      </w:r>
      <w:r w:rsidR="00094FB6">
        <w:t>efining a tightly focused reference class is challenging due to the small number of studies in some categories</w:t>
      </w:r>
      <w:r w:rsidR="00622556">
        <w:t>.</w:t>
      </w:r>
    </w:p>
    <w:p w14:paraId="0662061A" w14:textId="2AD806D3" w:rsidR="007753F2" w:rsidRDefault="009E6CB5">
      <w:pPr>
        <w:pStyle w:val="BodyA"/>
      </w:pPr>
      <w:r>
        <w:t xml:space="preserve">Mohammad et al (2013) assess 21 contextual factors and 7 methodological factors that vary across studies of rail infrastructure impacts on property values. They isolate five factors that are highly significant in explaining the wide variation in findings: </w:t>
      </w:r>
      <w:r w:rsidR="00477383">
        <w:t xml:space="preserve">measurement of </w:t>
      </w:r>
      <w:r>
        <w:t xml:space="preserve">property or land values, the type of property (commercial or residential), the type or rail infrastructure, the distance from the station and a methodological factor of whether cross-sectional or longitudinal data is used. </w:t>
      </w:r>
      <w:proofErr w:type="spellStart"/>
      <w:r>
        <w:t>Debrezion</w:t>
      </w:r>
      <w:r>
        <w:rPr>
          <w:rFonts w:ascii="Arial Unicode MS" w:hAnsi="Arial"/>
        </w:rPr>
        <w:t>’</w:t>
      </w:r>
      <w:r>
        <w:t>s</w:t>
      </w:r>
      <w:proofErr w:type="spellEnd"/>
      <w:r>
        <w:t xml:space="preserve"> (2007) meta-analysis investigates how seven variables explain variations in study findings and consistent with </w:t>
      </w:r>
      <w:r w:rsidR="00477383">
        <w:t xml:space="preserve">two factors identified by </w:t>
      </w:r>
      <w:r>
        <w:t>Mohammed et al (2013) also find that property type and infrastructure type, alongside demographic factors in the station catchment, are highly significant in explaining variation.</w:t>
      </w:r>
    </w:p>
    <w:p w14:paraId="7990B742" w14:textId="5E148272" w:rsidR="007753F2" w:rsidRDefault="009E6CB5">
      <w:pPr>
        <w:pStyle w:val="BodyA"/>
      </w:pPr>
      <w:r>
        <w:t xml:space="preserve">Based on the findings of these meta-analyses, analysis of our own reference class, availability of information within studies and applicability to ex-ante forecasting we isolate two variables </w:t>
      </w:r>
      <w:r w:rsidR="00622556">
        <w:t xml:space="preserve">that must be considered when </w:t>
      </w:r>
      <w:r>
        <w:t>refining</w:t>
      </w:r>
      <w:r w:rsidR="00622556">
        <w:t xml:space="preserve"> a</w:t>
      </w:r>
      <w:r>
        <w:t xml:space="preserve"> reference class: property type and infrastructure type. </w:t>
      </w:r>
      <w:r w:rsidR="00622556">
        <w:t>Other variables are also likely to be of interest, depending upon the project.</w:t>
      </w:r>
      <w:r>
        <w:t xml:space="preserve"> This is designed to enable more reliable application of property impact values depending on the context of the project under evaluation. </w:t>
      </w:r>
    </w:p>
    <w:p w14:paraId="3FD35870" w14:textId="3B80EBA9" w:rsidR="007753F2" w:rsidRDefault="00622556">
      <w:pPr>
        <w:pStyle w:val="BodyA"/>
      </w:pPr>
      <w:r>
        <w:t>First, an analysis</w:t>
      </w:r>
      <w:r w:rsidR="009E6CB5">
        <w:t xml:space="preserve"> of our reference class found significant variation in the range and distribution of property value impacts according to whether the type of property measured </w:t>
      </w:r>
      <w:r w:rsidR="009E6CB5">
        <w:lastRenderedPageBreak/>
        <w:t>was residential or commercial (</w:t>
      </w:r>
      <w:r w:rsidR="00300826">
        <w:t xml:space="preserve">Table </w:t>
      </w:r>
      <w:r w:rsidR="00531DE8">
        <w:t>2</w:t>
      </w:r>
      <w:r w:rsidR="009E6CB5">
        <w:t xml:space="preserve">). Average uplift values were found to be higher for commercial than for residential property, although a considerable range of values were reported and the sample of studies on commercial property impacts was much lower. Two studies from the overall reference class </w:t>
      </w:r>
      <w:r w:rsidR="00520DC1">
        <w:t xml:space="preserve">are classified as </w:t>
      </w:r>
      <w:r w:rsidR="00520DC1">
        <w:t>‘</w:t>
      </w:r>
      <w:r w:rsidR="00520DC1">
        <w:t>other</w:t>
      </w:r>
      <w:r w:rsidR="00520DC1">
        <w:t>’</w:t>
      </w:r>
      <w:r w:rsidR="00520DC1">
        <w:t xml:space="preserve"> in Table 3</w:t>
      </w:r>
      <w:r w:rsidR="009E6CB5">
        <w:t xml:space="preserve"> as they </w:t>
      </w:r>
      <w:r w:rsidR="00600560">
        <w:t xml:space="preserve">reported </w:t>
      </w:r>
      <w:r w:rsidR="009E6CB5">
        <w:t>impacts on</w:t>
      </w:r>
      <w:r w:rsidR="00600560">
        <w:t xml:space="preserve"> industrial and</w:t>
      </w:r>
      <w:r w:rsidR="009E6CB5">
        <w:t xml:space="preserve"> un-zoned vacant land. </w:t>
      </w:r>
    </w:p>
    <w:p w14:paraId="29F48519" w14:textId="5BDD9081" w:rsidR="007753F2" w:rsidRPr="005A6B56" w:rsidRDefault="00300826">
      <w:pPr>
        <w:pStyle w:val="BodyA"/>
        <w:rPr>
          <w:b/>
          <w:sz w:val="20"/>
          <w:szCs w:val="20"/>
        </w:rPr>
      </w:pPr>
      <w:r>
        <w:rPr>
          <w:b/>
          <w:sz w:val="20"/>
          <w:szCs w:val="20"/>
        </w:rPr>
        <w:t xml:space="preserve">Table </w:t>
      </w:r>
      <w:r w:rsidR="00531DE8">
        <w:rPr>
          <w:b/>
          <w:sz w:val="20"/>
          <w:szCs w:val="20"/>
        </w:rPr>
        <w:t>2</w:t>
      </w:r>
      <w:r w:rsidR="009E6CB5" w:rsidRPr="005A6B56">
        <w:rPr>
          <w:b/>
          <w:sz w:val="20"/>
          <w:szCs w:val="20"/>
        </w:rPr>
        <w:t>: Property value impacts</w:t>
      </w:r>
      <w:r w:rsidR="00BF4BC2" w:rsidRPr="005A6B56">
        <w:rPr>
          <w:b/>
          <w:sz w:val="20"/>
          <w:szCs w:val="20"/>
        </w:rPr>
        <w:t xml:space="preserve"> in the reference class</w:t>
      </w:r>
      <w:r w:rsidR="009E6CB5" w:rsidRPr="005A6B56">
        <w:rPr>
          <w:b/>
          <w:sz w:val="20"/>
          <w:szCs w:val="20"/>
        </w:rPr>
        <w:t xml:space="preserve"> </w:t>
      </w:r>
      <w:r w:rsidR="00BF4BC2" w:rsidRPr="005A6B56">
        <w:rPr>
          <w:b/>
          <w:sz w:val="20"/>
          <w:szCs w:val="20"/>
        </w:rPr>
        <w:t>by</w:t>
      </w:r>
      <w:r w:rsidR="009E6CB5" w:rsidRPr="005A6B56">
        <w:rPr>
          <w:b/>
          <w:sz w:val="20"/>
          <w:szCs w:val="20"/>
        </w:rPr>
        <w:t xml:space="preserve"> property type</w:t>
      </w:r>
    </w:p>
    <w:tbl>
      <w:tblPr>
        <w:tblW w:w="90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805"/>
        <w:gridCol w:w="1806"/>
        <w:gridCol w:w="1805"/>
        <w:gridCol w:w="1806"/>
      </w:tblGrid>
      <w:tr w:rsidR="00393B3C" w:rsidRPr="00477383" w14:paraId="42CD68BE" w14:textId="21B8FF9B" w:rsidTr="00393B3C">
        <w:trPr>
          <w:trHeight w:val="300"/>
        </w:trPr>
        <w:tc>
          <w:tcPr>
            <w:tcW w:w="1805" w:type="dxa"/>
            <w:shd w:val="clear" w:color="auto" w:fill="auto"/>
            <w:noWrap/>
            <w:vAlign w:val="bottom"/>
          </w:tcPr>
          <w:p w14:paraId="24A2E3B4" w14:textId="77777777" w:rsidR="00393B3C" w:rsidRPr="005A6B56" w:rsidRDefault="00393B3C" w:rsidP="004773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p>
        </w:tc>
        <w:tc>
          <w:tcPr>
            <w:tcW w:w="1805" w:type="dxa"/>
            <w:shd w:val="clear" w:color="auto" w:fill="auto"/>
            <w:noWrap/>
            <w:vAlign w:val="bottom"/>
          </w:tcPr>
          <w:p w14:paraId="18063F25"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Overall</w:t>
            </w:r>
          </w:p>
        </w:tc>
        <w:tc>
          <w:tcPr>
            <w:tcW w:w="1806" w:type="dxa"/>
            <w:shd w:val="clear" w:color="auto" w:fill="auto"/>
            <w:noWrap/>
            <w:vAlign w:val="bottom"/>
          </w:tcPr>
          <w:p w14:paraId="42B11E3F"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Residential</w:t>
            </w:r>
          </w:p>
        </w:tc>
        <w:tc>
          <w:tcPr>
            <w:tcW w:w="1805" w:type="dxa"/>
            <w:shd w:val="clear" w:color="auto" w:fill="auto"/>
            <w:noWrap/>
            <w:vAlign w:val="bottom"/>
          </w:tcPr>
          <w:p w14:paraId="1FE22C62"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Commercial</w:t>
            </w:r>
          </w:p>
        </w:tc>
        <w:tc>
          <w:tcPr>
            <w:tcW w:w="1806" w:type="dxa"/>
          </w:tcPr>
          <w:p w14:paraId="5132926F" w14:textId="55859C21" w:rsidR="00393B3C" w:rsidRPr="005A6B56" w:rsidRDefault="00600560"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Pr>
                <w:rFonts w:ascii="Arial" w:eastAsia="Times New Roman" w:hAnsi="Arial" w:cs="Arial"/>
                <w:color w:val="000000"/>
                <w:sz w:val="20"/>
                <w:szCs w:val="20"/>
                <w:bdr w:val="none" w:sz="0" w:space="0" w:color="auto"/>
                <w:lang w:val="en-GB"/>
              </w:rPr>
              <w:t>Other</w:t>
            </w:r>
          </w:p>
        </w:tc>
      </w:tr>
      <w:tr w:rsidR="00393B3C" w:rsidRPr="00477383" w14:paraId="366F6174" w14:textId="1C287DD9" w:rsidTr="00393B3C">
        <w:trPr>
          <w:trHeight w:val="300"/>
        </w:trPr>
        <w:tc>
          <w:tcPr>
            <w:tcW w:w="1805" w:type="dxa"/>
            <w:shd w:val="clear" w:color="auto" w:fill="auto"/>
            <w:noWrap/>
            <w:vAlign w:val="bottom"/>
            <w:hideMark/>
          </w:tcPr>
          <w:p w14:paraId="5D382341" w14:textId="77777777" w:rsidR="00393B3C" w:rsidRPr="005A6B56" w:rsidRDefault="00393B3C" w:rsidP="004773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Average</w:t>
            </w:r>
          </w:p>
        </w:tc>
        <w:tc>
          <w:tcPr>
            <w:tcW w:w="1805" w:type="dxa"/>
            <w:shd w:val="clear" w:color="auto" w:fill="auto"/>
            <w:noWrap/>
            <w:vAlign w:val="bottom"/>
            <w:hideMark/>
          </w:tcPr>
          <w:p w14:paraId="4DAD5379"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12%</w:t>
            </w:r>
          </w:p>
        </w:tc>
        <w:tc>
          <w:tcPr>
            <w:tcW w:w="1806" w:type="dxa"/>
            <w:shd w:val="clear" w:color="auto" w:fill="auto"/>
            <w:noWrap/>
            <w:vAlign w:val="bottom"/>
            <w:hideMark/>
          </w:tcPr>
          <w:p w14:paraId="0D682127"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7%</w:t>
            </w:r>
          </w:p>
        </w:tc>
        <w:tc>
          <w:tcPr>
            <w:tcW w:w="1805" w:type="dxa"/>
            <w:shd w:val="clear" w:color="auto" w:fill="auto"/>
            <w:noWrap/>
            <w:vAlign w:val="bottom"/>
            <w:hideMark/>
          </w:tcPr>
          <w:p w14:paraId="6ECC80A0"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17%</w:t>
            </w:r>
          </w:p>
        </w:tc>
        <w:tc>
          <w:tcPr>
            <w:tcW w:w="1806" w:type="dxa"/>
          </w:tcPr>
          <w:p w14:paraId="5870B949" w14:textId="01C37116" w:rsidR="00393B3C" w:rsidRPr="005A6B56" w:rsidRDefault="00600560"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Pr>
                <w:rFonts w:ascii="Arial" w:eastAsia="Times New Roman" w:hAnsi="Arial" w:cs="Arial"/>
                <w:color w:val="000000"/>
                <w:sz w:val="20"/>
                <w:szCs w:val="20"/>
                <w:bdr w:val="none" w:sz="0" w:space="0" w:color="auto"/>
                <w:lang w:val="en-GB"/>
              </w:rPr>
              <w:t>71%</w:t>
            </w:r>
          </w:p>
        </w:tc>
      </w:tr>
      <w:tr w:rsidR="00393B3C" w:rsidRPr="00477383" w14:paraId="3B7FF734" w14:textId="7780FBFC" w:rsidTr="00393B3C">
        <w:trPr>
          <w:trHeight w:val="300"/>
        </w:trPr>
        <w:tc>
          <w:tcPr>
            <w:tcW w:w="1805" w:type="dxa"/>
            <w:shd w:val="clear" w:color="auto" w:fill="auto"/>
            <w:noWrap/>
            <w:vAlign w:val="bottom"/>
            <w:hideMark/>
          </w:tcPr>
          <w:p w14:paraId="69FA6532" w14:textId="77777777" w:rsidR="00393B3C" w:rsidRPr="005A6B56" w:rsidRDefault="00393B3C" w:rsidP="004773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Median</w:t>
            </w:r>
          </w:p>
        </w:tc>
        <w:tc>
          <w:tcPr>
            <w:tcW w:w="1805" w:type="dxa"/>
            <w:shd w:val="clear" w:color="auto" w:fill="auto"/>
            <w:noWrap/>
            <w:vAlign w:val="bottom"/>
            <w:hideMark/>
          </w:tcPr>
          <w:p w14:paraId="460928FF"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5%</w:t>
            </w:r>
          </w:p>
        </w:tc>
        <w:tc>
          <w:tcPr>
            <w:tcW w:w="1806" w:type="dxa"/>
            <w:shd w:val="clear" w:color="auto" w:fill="auto"/>
            <w:noWrap/>
            <w:vAlign w:val="bottom"/>
            <w:hideMark/>
          </w:tcPr>
          <w:p w14:paraId="6876A5D0"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5%</w:t>
            </w:r>
          </w:p>
        </w:tc>
        <w:tc>
          <w:tcPr>
            <w:tcW w:w="1805" w:type="dxa"/>
            <w:shd w:val="clear" w:color="auto" w:fill="auto"/>
            <w:noWrap/>
            <w:vAlign w:val="bottom"/>
            <w:hideMark/>
          </w:tcPr>
          <w:p w14:paraId="2AC3FAF9"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w:t>
            </w:r>
          </w:p>
        </w:tc>
        <w:tc>
          <w:tcPr>
            <w:tcW w:w="1806" w:type="dxa"/>
          </w:tcPr>
          <w:p w14:paraId="2A4FE3EA" w14:textId="41D61D54" w:rsidR="00393B3C" w:rsidRPr="005A6B56" w:rsidRDefault="00600560"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Pr>
                <w:rFonts w:ascii="Arial" w:eastAsia="Times New Roman" w:hAnsi="Arial" w:cs="Arial"/>
                <w:color w:val="000000"/>
                <w:sz w:val="20"/>
                <w:szCs w:val="20"/>
                <w:bdr w:val="none" w:sz="0" w:space="0" w:color="auto"/>
                <w:lang w:val="en-GB"/>
              </w:rPr>
              <w:t>71%</w:t>
            </w:r>
          </w:p>
        </w:tc>
      </w:tr>
      <w:tr w:rsidR="00393B3C" w:rsidRPr="00477383" w14:paraId="7C9E91B9" w14:textId="55E75B1A" w:rsidTr="00393B3C">
        <w:trPr>
          <w:trHeight w:val="300"/>
        </w:trPr>
        <w:tc>
          <w:tcPr>
            <w:tcW w:w="1805" w:type="dxa"/>
            <w:shd w:val="clear" w:color="auto" w:fill="auto"/>
            <w:noWrap/>
            <w:vAlign w:val="bottom"/>
            <w:hideMark/>
          </w:tcPr>
          <w:p w14:paraId="373B4A14" w14:textId="77777777" w:rsidR="00393B3C" w:rsidRPr="005A6B56" w:rsidRDefault="00393B3C" w:rsidP="004773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Max</w:t>
            </w:r>
          </w:p>
        </w:tc>
        <w:tc>
          <w:tcPr>
            <w:tcW w:w="1805" w:type="dxa"/>
            <w:shd w:val="clear" w:color="auto" w:fill="auto"/>
            <w:noWrap/>
            <w:vAlign w:val="bottom"/>
            <w:hideMark/>
          </w:tcPr>
          <w:p w14:paraId="78959FFA"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150%</w:t>
            </w:r>
          </w:p>
        </w:tc>
        <w:tc>
          <w:tcPr>
            <w:tcW w:w="1806" w:type="dxa"/>
            <w:shd w:val="clear" w:color="auto" w:fill="auto"/>
            <w:noWrap/>
            <w:vAlign w:val="bottom"/>
            <w:hideMark/>
          </w:tcPr>
          <w:p w14:paraId="1F273B4C"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64%</w:t>
            </w:r>
          </w:p>
        </w:tc>
        <w:tc>
          <w:tcPr>
            <w:tcW w:w="1805" w:type="dxa"/>
            <w:shd w:val="clear" w:color="auto" w:fill="auto"/>
            <w:noWrap/>
            <w:vAlign w:val="bottom"/>
            <w:hideMark/>
          </w:tcPr>
          <w:p w14:paraId="3F1AA7A7"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91%</w:t>
            </w:r>
          </w:p>
        </w:tc>
        <w:tc>
          <w:tcPr>
            <w:tcW w:w="1806" w:type="dxa"/>
          </w:tcPr>
          <w:p w14:paraId="279EDF25" w14:textId="4E2FEC2B" w:rsidR="00393B3C" w:rsidRPr="005A6B56" w:rsidRDefault="00600560"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Pr>
                <w:rFonts w:ascii="Arial" w:eastAsia="Times New Roman" w:hAnsi="Arial" w:cs="Arial"/>
                <w:color w:val="000000"/>
                <w:sz w:val="20"/>
                <w:szCs w:val="20"/>
                <w:bdr w:val="none" w:sz="0" w:space="0" w:color="auto"/>
                <w:lang w:val="en-GB"/>
              </w:rPr>
              <w:t>150%</w:t>
            </w:r>
          </w:p>
        </w:tc>
      </w:tr>
      <w:tr w:rsidR="00393B3C" w:rsidRPr="00477383" w14:paraId="7B6695CA" w14:textId="14E35B19" w:rsidTr="00393B3C">
        <w:trPr>
          <w:trHeight w:val="300"/>
        </w:trPr>
        <w:tc>
          <w:tcPr>
            <w:tcW w:w="1805" w:type="dxa"/>
            <w:shd w:val="clear" w:color="auto" w:fill="auto"/>
            <w:noWrap/>
            <w:vAlign w:val="bottom"/>
            <w:hideMark/>
          </w:tcPr>
          <w:p w14:paraId="6A496129" w14:textId="77777777" w:rsidR="00393B3C" w:rsidRPr="005A6B56" w:rsidRDefault="00393B3C" w:rsidP="004773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Min</w:t>
            </w:r>
          </w:p>
        </w:tc>
        <w:tc>
          <w:tcPr>
            <w:tcW w:w="1805" w:type="dxa"/>
            <w:shd w:val="clear" w:color="auto" w:fill="auto"/>
            <w:noWrap/>
            <w:vAlign w:val="bottom"/>
            <w:hideMark/>
          </w:tcPr>
          <w:p w14:paraId="1C2164F2"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-21%</w:t>
            </w:r>
          </w:p>
        </w:tc>
        <w:tc>
          <w:tcPr>
            <w:tcW w:w="1806" w:type="dxa"/>
            <w:shd w:val="clear" w:color="auto" w:fill="auto"/>
            <w:noWrap/>
            <w:vAlign w:val="bottom"/>
            <w:hideMark/>
          </w:tcPr>
          <w:p w14:paraId="482A65D7"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-17%</w:t>
            </w:r>
          </w:p>
        </w:tc>
        <w:tc>
          <w:tcPr>
            <w:tcW w:w="1805" w:type="dxa"/>
            <w:shd w:val="clear" w:color="auto" w:fill="auto"/>
            <w:noWrap/>
            <w:vAlign w:val="bottom"/>
            <w:hideMark/>
          </w:tcPr>
          <w:p w14:paraId="1D91BF5A"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-21%</w:t>
            </w:r>
          </w:p>
        </w:tc>
        <w:tc>
          <w:tcPr>
            <w:tcW w:w="1806" w:type="dxa"/>
          </w:tcPr>
          <w:p w14:paraId="712A7A96" w14:textId="1F84177F" w:rsidR="00393B3C" w:rsidRPr="005A6B56" w:rsidRDefault="00600560"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Pr>
                <w:rFonts w:ascii="Arial" w:eastAsia="Times New Roman" w:hAnsi="Arial" w:cs="Arial"/>
                <w:color w:val="000000"/>
                <w:sz w:val="20"/>
                <w:szCs w:val="20"/>
                <w:bdr w:val="none" w:sz="0" w:space="0" w:color="auto"/>
                <w:lang w:val="en-GB"/>
              </w:rPr>
              <w:t>-9%</w:t>
            </w:r>
          </w:p>
        </w:tc>
      </w:tr>
      <w:tr w:rsidR="00393B3C" w:rsidRPr="00477383" w14:paraId="0C95FAAC" w14:textId="05ADC8A7" w:rsidTr="00393B3C">
        <w:trPr>
          <w:trHeight w:val="300"/>
        </w:trPr>
        <w:tc>
          <w:tcPr>
            <w:tcW w:w="1805" w:type="dxa"/>
            <w:shd w:val="clear" w:color="auto" w:fill="auto"/>
            <w:noWrap/>
            <w:vAlign w:val="bottom"/>
            <w:hideMark/>
          </w:tcPr>
          <w:p w14:paraId="298D6C22" w14:textId="77777777" w:rsidR="00393B3C" w:rsidRPr="005A6B56" w:rsidRDefault="00393B3C" w:rsidP="0047738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Count</w:t>
            </w:r>
          </w:p>
        </w:tc>
        <w:tc>
          <w:tcPr>
            <w:tcW w:w="1805" w:type="dxa"/>
            <w:shd w:val="clear" w:color="auto" w:fill="auto"/>
            <w:noWrap/>
            <w:vAlign w:val="bottom"/>
            <w:hideMark/>
          </w:tcPr>
          <w:p w14:paraId="317A10AC"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61</w:t>
            </w:r>
          </w:p>
        </w:tc>
        <w:tc>
          <w:tcPr>
            <w:tcW w:w="1806" w:type="dxa"/>
            <w:shd w:val="clear" w:color="auto" w:fill="auto"/>
            <w:noWrap/>
            <w:vAlign w:val="bottom"/>
            <w:hideMark/>
          </w:tcPr>
          <w:p w14:paraId="32DE526E"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46</w:t>
            </w:r>
          </w:p>
        </w:tc>
        <w:tc>
          <w:tcPr>
            <w:tcW w:w="1805" w:type="dxa"/>
            <w:shd w:val="clear" w:color="auto" w:fill="auto"/>
            <w:noWrap/>
            <w:vAlign w:val="bottom"/>
            <w:hideMark/>
          </w:tcPr>
          <w:p w14:paraId="160D056E" w14:textId="77777777" w:rsidR="00393B3C" w:rsidRPr="005A6B56" w:rsidRDefault="00393B3C"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13</w:t>
            </w:r>
          </w:p>
        </w:tc>
        <w:tc>
          <w:tcPr>
            <w:tcW w:w="1806" w:type="dxa"/>
          </w:tcPr>
          <w:p w14:paraId="76F76164" w14:textId="29862FDD" w:rsidR="00393B3C" w:rsidRPr="005A6B56" w:rsidRDefault="00600560"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Pr>
                <w:rFonts w:ascii="Arial" w:eastAsia="Times New Roman" w:hAnsi="Arial" w:cs="Arial"/>
                <w:color w:val="000000"/>
                <w:sz w:val="20"/>
                <w:szCs w:val="20"/>
                <w:bdr w:val="none" w:sz="0" w:space="0" w:color="auto"/>
                <w:lang w:val="en-GB"/>
              </w:rPr>
              <w:t>2</w:t>
            </w:r>
          </w:p>
        </w:tc>
      </w:tr>
    </w:tbl>
    <w:p w14:paraId="18B8E85D" w14:textId="77777777" w:rsidR="005A6B56" w:rsidRDefault="005A6B56">
      <w:pPr>
        <w:pStyle w:val="BodyA"/>
      </w:pPr>
    </w:p>
    <w:p w14:paraId="4E4FBB3B" w14:textId="0943AFE6" w:rsidR="007753F2" w:rsidRDefault="009E6CB5">
      <w:pPr>
        <w:pStyle w:val="BodyA"/>
      </w:pPr>
      <w:r>
        <w:t xml:space="preserve">Higher values for commercial property are also found by the two other meta-analyses on the topic and in other reviews of the literature (GVA </w:t>
      </w:r>
      <w:proofErr w:type="spellStart"/>
      <w:r>
        <w:t>Grimley</w:t>
      </w:r>
      <w:proofErr w:type="spellEnd"/>
      <w:r>
        <w:t xml:space="preserve"> 2004). Mohammad  (2013) finds </w:t>
      </w:r>
      <w:r w:rsidR="00BF4BC2">
        <w:t>that commercial</w:t>
      </w:r>
      <w:r>
        <w:t xml:space="preserve"> property tends to exhibit significantly higher property/ land value changes, with a premium of between 24 and 31 percentage points for commercial over </w:t>
      </w:r>
      <w:r w:rsidR="00BF4BC2">
        <w:t xml:space="preserve">residential property. </w:t>
      </w:r>
      <w:proofErr w:type="spellStart"/>
      <w:r w:rsidR="00BF4BC2">
        <w:t>Debrezion</w:t>
      </w:r>
      <w:proofErr w:type="spellEnd"/>
      <w:r w:rsidR="00BF4BC2">
        <w:t xml:space="preserve"> (2007)</w:t>
      </w:r>
      <w:r>
        <w:t xml:space="preserve"> finds that uplift for property within 400m of a rail station averages 4.2% </w:t>
      </w:r>
      <w:r w:rsidR="00D436F9">
        <w:t>for residential, but is almost four</w:t>
      </w:r>
      <w:r>
        <w:t xml:space="preserve"> times higher at 16.4% for commercial</w:t>
      </w:r>
      <w:r w:rsidR="00BF4BC2">
        <w:t xml:space="preserve"> property</w:t>
      </w:r>
      <w:r>
        <w:t>.</w:t>
      </w:r>
    </w:p>
    <w:p w14:paraId="63CE9E2C" w14:textId="5DFD8418" w:rsidR="007753F2" w:rsidRDefault="00622556">
      <w:pPr>
        <w:pStyle w:val="BodyA"/>
      </w:pPr>
      <w:r>
        <w:t>Second, analysis</w:t>
      </w:r>
      <w:r w:rsidR="009E6CB5">
        <w:t xml:space="preserve"> of rapid transit infrastructure type </w:t>
      </w:r>
      <w:r w:rsidR="00BF4BC2">
        <w:t xml:space="preserve">also </w:t>
      </w:r>
      <w:r w:rsidR="009E6CB5">
        <w:t xml:space="preserve">found variation in the property value impacts of commuter, metro, light rail and bus </w:t>
      </w:r>
      <w:r w:rsidR="00BF4BC2">
        <w:t>rapid transit projects (</w:t>
      </w:r>
      <w:r w:rsidR="00300826">
        <w:t xml:space="preserve">Table </w:t>
      </w:r>
      <w:r w:rsidR="00531DE8">
        <w:t>3</w:t>
      </w:r>
      <w:r w:rsidR="009E6CB5">
        <w:t xml:space="preserve">). Average uplift values were highest for commuter rail and light rail at 17%, with BRT and Metro projects showing significantly lower impacts at 2% and 3% respectively. </w:t>
      </w:r>
    </w:p>
    <w:p w14:paraId="32282D9E" w14:textId="381BF7F6" w:rsidR="00BB5B55" w:rsidRDefault="00BB5B55">
      <w:pPr>
        <w:pStyle w:val="BodyA"/>
      </w:pPr>
      <w:r>
        <w:t>Our analysis of the impacts of rapid transit infrastructure type is somewhat consistent with previous literature. Mohammad</w:t>
      </w:r>
      <w:r>
        <w:rPr>
          <w:rFonts w:ascii="Arial Unicode MS" w:hAnsi="Arial"/>
        </w:rPr>
        <w:t>’</w:t>
      </w:r>
      <w:r>
        <w:t xml:space="preserve">s (2013) meta-analysis finds that commuter rail has the highest positive impact on property values, although comparison of heavy and light rail shows little variation between the two and the potential negative noise and other externalities of </w:t>
      </w:r>
      <w:proofErr w:type="spellStart"/>
      <w:r>
        <w:t>overground</w:t>
      </w:r>
      <w:proofErr w:type="spellEnd"/>
      <w:r>
        <w:t xml:space="preserve"> heavy rail are suggested as countering it</w:t>
      </w:r>
      <w:r>
        <w:rPr>
          <w:rFonts w:ascii="Arial Unicode MS" w:hAnsi="Arial"/>
        </w:rPr>
        <w:t>’</w:t>
      </w:r>
      <w:r>
        <w:t xml:space="preserve">s potentially greater accessibility advantages. </w:t>
      </w:r>
      <w:proofErr w:type="spellStart"/>
      <w:r>
        <w:t>Debrezion</w:t>
      </w:r>
      <w:proofErr w:type="spellEnd"/>
      <w:r>
        <w:t xml:space="preserve"> (2007) also finds a premium for commuter rail over metro or light rail, suggested as reflecting its speed and accessibility advantages. In contrast to our findings, no significant difference is found between metro and light rail. Neither of these two meta-analyses compares BRT with rail-based systems. Salon and </w:t>
      </w:r>
      <w:proofErr w:type="spellStart"/>
      <w:r>
        <w:t>Shewmake</w:t>
      </w:r>
      <w:proofErr w:type="spellEnd"/>
      <w:r>
        <w:t xml:space="preserve"> (2011) review the literature and report lower uplift values for bus-based systems compared to rail. </w:t>
      </w:r>
      <w:proofErr w:type="spellStart"/>
      <w:r>
        <w:t>Cervero</w:t>
      </w:r>
      <w:proofErr w:type="spellEnd"/>
      <w:r>
        <w:t xml:space="preserve"> and Duncan (2002) </w:t>
      </w:r>
      <w:r w:rsidR="009814E1">
        <w:t xml:space="preserve">and Ma et al (2014) </w:t>
      </w:r>
      <w:r>
        <w:t xml:space="preserve">compare property value impacts </w:t>
      </w:r>
      <w:r w:rsidR="009814E1">
        <w:t>or rail and BRT-based infrastructure within</w:t>
      </w:r>
      <w:r>
        <w:t xml:space="preserve"> Los Angeles </w:t>
      </w:r>
      <w:r w:rsidR="009814E1">
        <w:t xml:space="preserve">and Beijing respectively </w:t>
      </w:r>
      <w:r>
        <w:t xml:space="preserve">and find </w:t>
      </w:r>
      <w:r w:rsidR="009814E1">
        <w:t>significantly lower</w:t>
      </w:r>
      <w:r>
        <w:t xml:space="preserve"> impacts from BRT lines. </w:t>
      </w:r>
    </w:p>
    <w:p w14:paraId="0896F2BA" w14:textId="61C187C0" w:rsidR="007753F2" w:rsidRPr="005A6B56" w:rsidRDefault="00300826">
      <w:pPr>
        <w:pStyle w:val="BodyA"/>
        <w:rPr>
          <w:b/>
          <w:sz w:val="20"/>
          <w:szCs w:val="20"/>
        </w:rPr>
      </w:pPr>
      <w:r>
        <w:rPr>
          <w:b/>
          <w:sz w:val="20"/>
          <w:szCs w:val="20"/>
        </w:rPr>
        <w:t xml:space="preserve">Table </w:t>
      </w:r>
      <w:r w:rsidR="00531DE8">
        <w:rPr>
          <w:b/>
          <w:sz w:val="20"/>
          <w:szCs w:val="20"/>
        </w:rPr>
        <w:t>3</w:t>
      </w:r>
      <w:r w:rsidR="009E6CB5" w:rsidRPr="005A6B56">
        <w:rPr>
          <w:b/>
          <w:sz w:val="20"/>
          <w:szCs w:val="20"/>
        </w:rPr>
        <w:t>: Property value impacts according to infrastructure type</w:t>
      </w:r>
    </w:p>
    <w:tbl>
      <w:tblPr>
        <w:tblW w:w="90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523"/>
        <w:gridCol w:w="1524"/>
        <w:gridCol w:w="1524"/>
        <w:gridCol w:w="1524"/>
        <w:gridCol w:w="1921"/>
      </w:tblGrid>
      <w:tr w:rsidR="005A6B56" w:rsidRPr="00BF4BC2" w14:paraId="12657E1D" w14:textId="77777777" w:rsidTr="00BB5B55">
        <w:trPr>
          <w:trHeight w:val="301"/>
        </w:trPr>
        <w:tc>
          <w:tcPr>
            <w:tcW w:w="1008" w:type="dxa"/>
            <w:shd w:val="clear" w:color="auto" w:fill="auto"/>
            <w:noWrap/>
            <w:vAlign w:val="bottom"/>
          </w:tcPr>
          <w:p w14:paraId="21EA7CE6" w14:textId="77777777" w:rsidR="00BF4BC2" w:rsidRPr="005A6B56" w:rsidRDefault="00BF4BC2" w:rsidP="00BF4B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p>
        </w:tc>
        <w:tc>
          <w:tcPr>
            <w:tcW w:w="1523" w:type="dxa"/>
            <w:shd w:val="clear" w:color="auto" w:fill="auto"/>
            <w:noWrap/>
            <w:vAlign w:val="bottom"/>
          </w:tcPr>
          <w:p w14:paraId="3BC6474A"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Overall</w:t>
            </w:r>
          </w:p>
        </w:tc>
        <w:tc>
          <w:tcPr>
            <w:tcW w:w="1524" w:type="dxa"/>
            <w:shd w:val="clear" w:color="auto" w:fill="auto"/>
            <w:noWrap/>
            <w:vAlign w:val="bottom"/>
          </w:tcPr>
          <w:p w14:paraId="40A9C384"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Commuter rail</w:t>
            </w:r>
          </w:p>
        </w:tc>
        <w:tc>
          <w:tcPr>
            <w:tcW w:w="1524" w:type="dxa"/>
            <w:shd w:val="clear" w:color="auto" w:fill="auto"/>
            <w:noWrap/>
            <w:vAlign w:val="bottom"/>
          </w:tcPr>
          <w:p w14:paraId="4BBE6C6E"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Metro rail</w:t>
            </w:r>
          </w:p>
        </w:tc>
        <w:tc>
          <w:tcPr>
            <w:tcW w:w="1524" w:type="dxa"/>
            <w:shd w:val="clear" w:color="auto" w:fill="auto"/>
            <w:noWrap/>
            <w:vAlign w:val="bottom"/>
          </w:tcPr>
          <w:p w14:paraId="63528AC1"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Light rail</w:t>
            </w:r>
          </w:p>
        </w:tc>
        <w:tc>
          <w:tcPr>
            <w:tcW w:w="1921" w:type="dxa"/>
            <w:shd w:val="clear" w:color="auto" w:fill="auto"/>
            <w:noWrap/>
            <w:vAlign w:val="bottom"/>
          </w:tcPr>
          <w:p w14:paraId="70A2034C"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Bus Rapid Transit</w:t>
            </w:r>
          </w:p>
        </w:tc>
      </w:tr>
      <w:tr w:rsidR="005A6B56" w:rsidRPr="00BF4BC2" w14:paraId="46EFE93D" w14:textId="77777777" w:rsidTr="00BB5B55">
        <w:trPr>
          <w:trHeight w:val="301"/>
        </w:trPr>
        <w:tc>
          <w:tcPr>
            <w:tcW w:w="1008" w:type="dxa"/>
            <w:shd w:val="clear" w:color="auto" w:fill="auto"/>
            <w:noWrap/>
            <w:vAlign w:val="bottom"/>
            <w:hideMark/>
          </w:tcPr>
          <w:p w14:paraId="5AA3C99E" w14:textId="77777777" w:rsidR="00BF4BC2" w:rsidRPr="005A6B56" w:rsidRDefault="00BF4BC2" w:rsidP="00BF4B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Average</w:t>
            </w:r>
          </w:p>
        </w:tc>
        <w:tc>
          <w:tcPr>
            <w:tcW w:w="1523" w:type="dxa"/>
            <w:shd w:val="clear" w:color="auto" w:fill="auto"/>
            <w:noWrap/>
            <w:vAlign w:val="bottom"/>
            <w:hideMark/>
          </w:tcPr>
          <w:p w14:paraId="587A9D3F"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12%</w:t>
            </w:r>
          </w:p>
        </w:tc>
        <w:tc>
          <w:tcPr>
            <w:tcW w:w="1524" w:type="dxa"/>
            <w:shd w:val="clear" w:color="auto" w:fill="auto"/>
            <w:noWrap/>
            <w:vAlign w:val="bottom"/>
            <w:hideMark/>
          </w:tcPr>
          <w:p w14:paraId="72EF5479"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17%</w:t>
            </w:r>
          </w:p>
        </w:tc>
        <w:tc>
          <w:tcPr>
            <w:tcW w:w="1524" w:type="dxa"/>
            <w:shd w:val="clear" w:color="auto" w:fill="auto"/>
            <w:noWrap/>
            <w:vAlign w:val="bottom"/>
            <w:hideMark/>
          </w:tcPr>
          <w:p w14:paraId="628896F2"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3%</w:t>
            </w:r>
          </w:p>
        </w:tc>
        <w:tc>
          <w:tcPr>
            <w:tcW w:w="1524" w:type="dxa"/>
            <w:shd w:val="clear" w:color="auto" w:fill="auto"/>
            <w:noWrap/>
            <w:vAlign w:val="bottom"/>
            <w:hideMark/>
          </w:tcPr>
          <w:p w14:paraId="2D13BED2"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17%</w:t>
            </w:r>
          </w:p>
        </w:tc>
        <w:tc>
          <w:tcPr>
            <w:tcW w:w="1921" w:type="dxa"/>
            <w:shd w:val="clear" w:color="auto" w:fill="auto"/>
            <w:noWrap/>
            <w:vAlign w:val="bottom"/>
            <w:hideMark/>
          </w:tcPr>
          <w:p w14:paraId="698C5042"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w:t>
            </w:r>
          </w:p>
        </w:tc>
      </w:tr>
      <w:tr w:rsidR="005A6B56" w:rsidRPr="00BF4BC2" w14:paraId="64A99FC6" w14:textId="77777777" w:rsidTr="00BB5B55">
        <w:trPr>
          <w:trHeight w:val="301"/>
        </w:trPr>
        <w:tc>
          <w:tcPr>
            <w:tcW w:w="1008" w:type="dxa"/>
            <w:shd w:val="clear" w:color="auto" w:fill="auto"/>
            <w:noWrap/>
            <w:vAlign w:val="bottom"/>
            <w:hideMark/>
          </w:tcPr>
          <w:p w14:paraId="7CD3AD43" w14:textId="77777777" w:rsidR="00BF4BC2" w:rsidRPr="005A6B56" w:rsidRDefault="00BF4BC2" w:rsidP="00BF4B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Median</w:t>
            </w:r>
          </w:p>
        </w:tc>
        <w:tc>
          <w:tcPr>
            <w:tcW w:w="1523" w:type="dxa"/>
            <w:shd w:val="clear" w:color="auto" w:fill="auto"/>
            <w:noWrap/>
            <w:vAlign w:val="bottom"/>
            <w:hideMark/>
          </w:tcPr>
          <w:p w14:paraId="5FAAD6F4"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5%</w:t>
            </w:r>
          </w:p>
        </w:tc>
        <w:tc>
          <w:tcPr>
            <w:tcW w:w="1524" w:type="dxa"/>
            <w:shd w:val="clear" w:color="auto" w:fill="auto"/>
            <w:noWrap/>
            <w:vAlign w:val="bottom"/>
            <w:hideMark/>
          </w:tcPr>
          <w:p w14:paraId="380532F8"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5%</w:t>
            </w:r>
          </w:p>
        </w:tc>
        <w:tc>
          <w:tcPr>
            <w:tcW w:w="1524" w:type="dxa"/>
            <w:shd w:val="clear" w:color="auto" w:fill="auto"/>
            <w:noWrap/>
            <w:vAlign w:val="bottom"/>
            <w:hideMark/>
          </w:tcPr>
          <w:p w14:paraId="3A813640"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5%</w:t>
            </w:r>
          </w:p>
        </w:tc>
        <w:tc>
          <w:tcPr>
            <w:tcW w:w="1524" w:type="dxa"/>
            <w:shd w:val="clear" w:color="auto" w:fill="auto"/>
            <w:noWrap/>
            <w:vAlign w:val="bottom"/>
            <w:hideMark/>
          </w:tcPr>
          <w:p w14:paraId="0A0B0D25"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10%</w:t>
            </w:r>
          </w:p>
        </w:tc>
        <w:tc>
          <w:tcPr>
            <w:tcW w:w="1921" w:type="dxa"/>
            <w:shd w:val="clear" w:color="auto" w:fill="auto"/>
            <w:noWrap/>
            <w:vAlign w:val="bottom"/>
            <w:hideMark/>
          </w:tcPr>
          <w:p w14:paraId="6503FA63"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3%</w:t>
            </w:r>
          </w:p>
        </w:tc>
      </w:tr>
      <w:tr w:rsidR="005A6B56" w:rsidRPr="00BF4BC2" w14:paraId="1864968C" w14:textId="77777777" w:rsidTr="00BB5B55">
        <w:trPr>
          <w:trHeight w:val="301"/>
        </w:trPr>
        <w:tc>
          <w:tcPr>
            <w:tcW w:w="1008" w:type="dxa"/>
            <w:shd w:val="clear" w:color="auto" w:fill="auto"/>
            <w:noWrap/>
            <w:vAlign w:val="bottom"/>
            <w:hideMark/>
          </w:tcPr>
          <w:p w14:paraId="5A6359C7" w14:textId="77777777" w:rsidR="00BF4BC2" w:rsidRPr="005A6B56" w:rsidRDefault="00BF4BC2" w:rsidP="00BF4B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Max</w:t>
            </w:r>
          </w:p>
        </w:tc>
        <w:tc>
          <w:tcPr>
            <w:tcW w:w="1523" w:type="dxa"/>
            <w:shd w:val="clear" w:color="auto" w:fill="auto"/>
            <w:noWrap/>
            <w:vAlign w:val="bottom"/>
            <w:hideMark/>
          </w:tcPr>
          <w:p w14:paraId="307801E2"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150%</w:t>
            </w:r>
          </w:p>
        </w:tc>
        <w:tc>
          <w:tcPr>
            <w:tcW w:w="1524" w:type="dxa"/>
            <w:shd w:val="clear" w:color="auto" w:fill="auto"/>
            <w:noWrap/>
            <w:vAlign w:val="bottom"/>
            <w:hideMark/>
          </w:tcPr>
          <w:p w14:paraId="06ED05BC"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91%</w:t>
            </w:r>
          </w:p>
        </w:tc>
        <w:tc>
          <w:tcPr>
            <w:tcW w:w="1524" w:type="dxa"/>
            <w:shd w:val="clear" w:color="auto" w:fill="auto"/>
            <w:noWrap/>
            <w:vAlign w:val="bottom"/>
            <w:hideMark/>
          </w:tcPr>
          <w:p w14:paraId="4E01AD7A"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27%</w:t>
            </w:r>
          </w:p>
        </w:tc>
        <w:tc>
          <w:tcPr>
            <w:tcW w:w="1524" w:type="dxa"/>
            <w:shd w:val="clear" w:color="auto" w:fill="auto"/>
            <w:noWrap/>
            <w:vAlign w:val="bottom"/>
            <w:hideMark/>
          </w:tcPr>
          <w:p w14:paraId="3168F34B"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150%</w:t>
            </w:r>
          </w:p>
        </w:tc>
        <w:tc>
          <w:tcPr>
            <w:tcW w:w="1921" w:type="dxa"/>
            <w:shd w:val="clear" w:color="auto" w:fill="auto"/>
            <w:noWrap/>
            <w:vAlign w:val="bottom"/>
            <w:hideMark/>
          </w:tcPr>
          <w:p w14:paraId="224A5326"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10%</w:t>
            </w:r>
          </w:p>
        </w:tc>
      </w:tr>
      <w:tr w:rsidR="005A6B56" w:rsidRPr="00BF4BC2" w14:paraId="38E051A6" w14:textId="77777777" w:rsidTr="00BB5B55">
        <w:trPr>
          <w:trHeight w:val="301"/>
        </w:trPr>
        <w:tc>
          <w:tcPr>
            <w:tcW w:w="1008" w:type="dxa"/>
            <w:shd w:val="clear" w:color="auto" w:fill="auto"/>
            <w:noWrap/>
            <w:vAlign w:val="bottom"/>
            <w:hideMark/>
          </w:tcPr>
          <w:p w14:paraId="65F0461C" w14:textId="77777777" w:rsidR="00BF4BC2" w:rsidRPr="005A6B56" w:rsidRDefault="00BF4BC2" w:rsidP="00BF4B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Min</w:t>
            </w:r>
          </w:p>
        </w:tc>
        <w:tc>
          <w:tcPr>
            <w:tcW w:w="1523" w:type="dxa"/>
            <w:shd w:val="clear" w:color="auto" w:fill="auto"/>
            <w:noWrap/>
            <w:vAlign w:val="bottom"/>
            <w:hideMark/>
          </w:tcPr>
          <w:p w14:paraId="4DBE846D"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-21%</w:t>
            </w:r>
          </w:p>
        </w:tc>
        <w:tc>
          <w:tcPr>
            <w:tcW w:w="1524" w:type="dxa"/>
            <w:shd w:val="clear" w:color="auto" w:fill="auto"/>
            <w:noWrap/>
            <w:vAlign w:val="bottom"/>
            <w:hideMark/>
          </w:tcPr>
          <w:p w14:paraId="20EB24CA"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-7%</w:t>
            </w:r>
          </w:p>
        </w:tc>
        <w:tc>
          <w:tcPr>
            <w:tcW w:w="1524" w:type="dxa"/>
            <w:shd w:val="clear" w:color="auto" w:fill="auto"/>
            <w:noWrap/>
            <w:vAlign w:val="bottom"/>
            <w:hideMark/>
          </w:tcPr>
          <w:p w14:paraId="77EF0F07"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-21%</w:t>
            </w:r>
          </w:p>
        </w:tc>
        <w:tc>
          <w:tcPr>
            <w:tcW w:w="1524" w:type="dxa"/>
            <w:shd w:val="clear" w:color="auto" w:fill="auto"/>
            <w:noWrap/>
            <w:vAlign w:val="bottom"/>
            <w:hideMark/>
          </w:tcPr>
          <w:p w14:paraId="292081D8"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-17%</w:t>
            </w:r>
          </w:p>
        </w:tc>
        <w:tc>
          <w:tcPr>
            <w:tcW w:w="1921" w:type="dxa"/>
            <w:shd w:val="clear" w:color="auto" w:fill="auto"/>
            <w:noWrap/>
            <w:vAlign w:val="bottom"/>
            <w:hideMark/>
          </w:tcPr>
          <w:p w14:paraId="5F221083"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-11%</w:t>
            </w:r>
          </w:p>
        </w:tc>
      </w:tr>
      <w:tr w:rsidR="005A6B56" w:rsidRPr="00BF4BC2" w14:paraId="66B2600B" w14:textId="77777777" w:rsidTr="00BB5B55">
        <w:trPr>
          <w:trHeight w:val="301"/>
        </w:trPr>
        <w:tc>
          <w:tcPr>
            <w:tcW w:w="1008" w:type="dxa"/>
            <w:shd w:val="clear" w:color="auto" w:fill="auto"/>
            <w:noWrap/>
            <w:vAlign w:val="bottom"/>
            <w:hideMark/>
          </w:tcPr>
          <w:p w14:paraId="10A921E7" w14:textId="77777777" w:rsidR="00BF4BC2" w:rsidRPr="005A6B56" w:rsidRDefault="00BF4BC2" w:rsidP="00BF4BC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Count</w:t>
            </w:r>
          </w:p>
        </w:tc>
        <w:tc>
          <w:tcPr>
            <w:tcW w:w="1523" w:type="dxa"/>
            <w:shd w:val="clear" w:color="auto" w:fill="auto"/>
            <w:noWrap/>
            <w:vAlign w:val="bottom"/>
            <w:hideMark/>
          </w:tcPr>
          <w:p w14:paraId="4386512B"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61</w:t>
            </w:r>
          </w:p>
        </w:tc>
        <w:tc>
          <w:tcPr>
            <w:tcW w:w="1524" w:type="dxa"/>
            <w:shd w:val="clear" w:color="auto" w:fill="auto"/>
            <w:noWrap/>
            <w:vAlign w:val="bottom"/>
            <w:hideMark/>
          </w:tcPr>
          <w:p w14:paraId="12E4A595"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10</w:t>
            </w:r>
          </w:p>
        </w:tc>
        <w:tc>
          <w:tcPr>
            <w:tcW w:w="1524" w:type="dxa"/>
            <w:shd w:val="clear" w:color="auto" w:fill="auto"/>
            <w:noWrap/>
            <w:vAlign w:val="bottom"/>
            <w:hideMark/>
          </w:tcPr>
          <w:p w14:paraId="68B0F921"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12</w:t>
            </w:r>
          </w:p>
        </w:tc>
        <w:tc>
          <w:tcPr>
            <w:tcW w:w="1524" w:type="dxa"/>
            <w:shd w:val="clear" w:color="auto" w:fill="auto"/>
            <w:noWrap/>
            <w:vAlign w:val="bottom"/>
            <w:hideMark/>
          </w:tcPr>
          <w:p w14:paraId="68524313"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29</w:t>
            </w:r>
          </w:p>
        </w:tc>
        <w:tc>
          <w:tcPr>
            <w:tcW w:w="1921" w:type="dxa"/>
            <w:shd w:val="clear" w:color="auto" w:fill="auto"/>
            <w:noWrap/>
            <w:vAlign w:val="bottom"/>
            <w:hideMark/>
          </w:tcPr>
          <w:p w14:paraId="36E412CF" w14:textId="77777777" w:rsidR="00BF4BC2" w:rsidRPr="005A6B56" w:rsidRDefault="00BF4BC2" w:rsidP="005A6B5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0"/>
                <w:szCs w:val="20"/>
                <w:bdr w:val="none" w:sz="0" w:space="0" w:color="auto"/>
                <w:lang w:val="en-GB"/>
              </w:rPr>
            </w:pPr>
            <w:r w:rsidRPr="005A6B56">
              <w:rPr>
                <w:rFonts w:ascii="Arial" w:eastAsia="Times New Roman" w:hAnsi="Arial" w:cs="Arial"/>
                <w:color w:val="000000"/>
                <w:sz w:val="20"/>
                <w:szCs w:val="20"/>
                <w:bdr w:val="none" w:sz="0" w:space="0" w:color="auto"/>
                <w:lang w:val="en-GB"/>
              </w:rPr>
              <w:t>10</w:t>
            </w:r>
          </w:p>
        </w:tc>
      </w:tr>
    </w:tbl>
    <w:p w14:paraId="39318077" w14:textId="35DC8B56" w:rsidR="007753F2" w:rsidRDefault="009E6CB5">
      <w:pPr>
        <w:pStyle w:val="SectionHeadingLevel2"/>
      </w:pPr>
      <w:r>
        <w:t xml:space="preserve">4.3 Specifying proxy </w:t>
      </w:r>
      <w:r w:rsidR="00BB5B55">
        <w:t xml:space="preserve">property impact </w:t>
      </w:r>
      <w:r>
        <w:t xml:space="preserve">values for project evaluation </w:t>
      </w:r>
    </w:p>
    <w:p w14:paraId="30097673" w14:textId="393142E9" w:rsidR="001536CD" w:rsidRPr="00622556" w:rsidRDefault="0041778D" w:rsidP="005A6B56">
      <w:pPr>
        <w:pStyle w:val="BodyA"/>
      </w:pPr>
      <w:r>
        <w:t>W</w:t>
      </w:r>
      <w:r w:rsidR="003348DC">
        <w:t>e recommend the following process for defining an appropriate reference class for analysis and defining proxy values for property value uplifts</w:t>
      </w:r>
      <w:r w:rsidR="001536CD">
        <w:t xml:space="preserve"> following a specific rapid transit project</w:t>
      </w:r>
      <w:r w:rsidR="003348DC">
        <w:t>.</w:t>
      </w:r>
      <w:r w:rsidR="00D91517">
        <w:t xml:space="preserve"> </w:t>
      </w:r>
      <w:r w:rsidR="003348DC">
        <w:t xml:space="preserve">First, filter the long list of project evaluations according to type of rapid transport </w:t>
      </w:r>
      <w:r w:rsidR="003348DC">
        <w:lastRenderedPageBreak/>
        <w:t>infrastructure and property type. Second, if the projects in the short list include some that are located in cities with substantially different p</w:t>
      </w:r>
      <w:r w:rsidR="00BF4AC4">
        <w:t>opulation sizes or urban forms</w:t>
      </w:r>
      <w:r w:rsidR="003348DC">
        <w:t xml:space="preserve">, filter them out. Third, </w:t>
      </w:r>
      <w:proofErr w:type="spellStart"/>
      <w:r w:rsidR="003348DC">
        <w:t>summarise</w:t>
      </w:r>
      <w:proofErr w:type="spellEnd"/>
      <w:r w:rsidR="003348DC">
        <w:t xml:space="preserve"> the results from the remaining reference class into a range of potential values for property value uplift,</w:t>
      </w:r>
      <w:r>
        <w:t xml:space="preserve"> distinguishing between values for residential and commercial property and</w:t>
      </w:r>
      <w:r w:rsidR="003348DC">
        <w:t xml:space="preserve"> including an average value and a confidence interval. </w:t>
      </w:r>
      <w:r>
        <w:t>In defining an appropriate reference class for a particular project, consideration should be given to both narrowing</w:t>
      </w:r>
      <w:r w:rsidR="004A348A">
        <w:t xml:space="preserve"> the reference class to the most comparable projects but also including sufficient values to ensure a reasonable sample size. </w:t>
      </w:r>
    </w:p>
    <w:p w14:paraId="3415A194" w14:textId="77777777" w:rsidR="007753F2" w:rsidRDefault="009E6CB5">
      <w:pPr>
        <w:pStyle w:val="SectionHeadingLevel1"/>
      </w:pPr>
      <w:r>
        <w:t>5. Applying our method to a case study</w:t>
      </w:r>
    </w:p>
    <w:p w14:paraId="61A04533" w14:textId="3507DDA2" w:rsidR="008F458A" w:rsidRDefault="00E747C6" w:rsidP="008F458A">
      <w:pPr>
        <w:pStyle w:val="BodyA"/>
      </w:pPr>
      <w:r w:rsidRPr="00E747C6">
        <w:t xml:space="preserve">In this section, we </w:t>
      </w:r>
      <w:r w:rsidR="00D91517">
        <w:t xml:space="preserve">apply the method outlined in </w:t>
      </w:r>
      <w:r w:rsidR="00BA544B">
        <w:t>s</w:t>
      </w:r>
      <w:r w:rsidR="00D91517">
        <w:t xml:space="preserve">ection 4 to </w:t>
      </w:r>
      <w:r w:rsidR="007853FF">
        <w:t xml:space="preserve">a </w:t>
      </w:r>
      <w:r w:rsidR="00D91517">
        <w:t xml:space="preserve">case study </w:t>
      </w:r>
      <w:r w:rsidRPr="00E747C6">
        <w:t>in Auckland, New Zealand</w:t>
      </w:r>
      <w:r w:rsidRPr="00E747C6">
        <w:t>’</w:t>
      </w:r>
      <w:r w:rsidR="00D91517">
        <w:t>s largest city</w:t>
      </w:r>
      <w:r w:rsidRPr="00E747C6">
        <w:t>.</w:t>
      </w:r>
      <w:r>
        <w:t xml:space="preserve"> </w:t>
      </w:r>
    </w:p>
    <w:p w14:paraId="24614FC3" w14:textId="3B75833B" w:rsidR="007753F2" w:rsidRDefault="00E747C6">
      <w:pPr>
        <w:pStyle w:val="SectionHeadingLevel2"/>
      </w:pPr>
      <w:r>
        <w:t>5.1</w:t>
      </w:r>
      <w:r w:rsidR="009E6CB5">
        <w:t xml:space="preserve"> </w:t>
      </w:r>
      <w:r w:rsidR="00930DB1">
        <w:t xml:space="preserve">Project background </w:t>
      </w:r>
    </w:p>
    <w:p w14:paraId="0A85588B" w14:textId="252498E0" w:rsidR="00E747C6" w:rsidRDefault="00E56CBD" w:rsidP="00930DB1">
      <w:pPr>
        <w:pStyle w:val="BodyA"/>
      </w:pPr>
      <w:r>
        <w:t>W</w:t>
      </w:r>
      <w:r w:rsidR="00E747C6" w:rsidRPr="00E747C6">
        <w:t xml:space="preserve">e consider three hypothetical </w:t>
      </w:r>
      <w:r w:rsidR="00930DB1">
        <w:t>Light Rail Transit (</w:t>
      </w:r>
      <w:r w:rsidR="00E747C6" w:rsidRPr="00E747C6">
        <w:t>LRT</w:t>
      </w:r>
      <w:r w:rsidR="00930DB1">
        <w:t>)</w:t>
      </w:r>
      <w:r w:rsidR="00E747C6" w:rsidRPr="00E747C6">
        <w:t xml:space="preserve"> alignments in Auckland:</w:t>
      </w:r>
      <w:r w:rsidR="00BB5B55">
        <w:t xml:space="preserve"> a</w:t>
      </w:r>
      <w:r w:rsidR="00E747C6" w:rsidRPr="00E747C6">
        <w:t xml:space="preserve"> Western Bays line running from the city </w:t>
      </w:r>
      <w:proofErr w:type="spellStart"/>
      <w:r w:rsidR="00E747C6" w:rsidRPr="00E747C6">
        <w:t>centre</w:t>
      </w:r>
      <w:proofErr w:type="spellEnd"/>
      <w:r w:rsidR="00E747C6" w:rsidRPr="00E747C6">
        <w:t xml:space="preserve"> to Mount Albert via Point Chevalier</w:t>
      </w:r>
      <w:r w:rsidR="00BB5B55">
        <w:t>; a</w:t>
      </w:r>
      <w:r w:rsidR="00E747C6" w:rsidRPr="00E747C6">
        <w:t xml:space="preserve"> Tamaki Drive line running from </w:t>
      </w:r>
      <w:proofErr w:type="spellStart"/>
      <w:r w:rsidR="00E747C6" w:rsidRPr="00E747C6">
        <w:t>Britomart</w:t>
      </w:r>
      <w:proofErr w:type="spellEnd"/>
      <w:r w:rsidR="00E747C6" w:rsidRPr="00E747C6">
        <w:t xml:space="preserve"> to St </w:t>
      </w:r>
      <w:proofErr w:type="spellStart"/>
      <w:r w:rsidR="00E747C6" w:rsidRPr="00E747C6">
        <w:t>Heliers</w:t>
      </w:r>
      <w:proofErr w:type="spellEnd"/>
      <w:r w:rsidR="00E747C6" w:rsidRPr="00E747C6">
        <w:t xml:space="preserve"> along the waterfront</w:t>
      </w:r>
      <w:r w:rsidR="00BB5B55">
        <w:t xml:space="preserve">; </w:t>
      </w:r>
      <w:r w:rsidR="00A22CD0">
        <w:t xml:space="preserve">and </w:t>
      </w:r>
      <w:r w:rsidR="00BB5B55">
        <w:t xml:space="preserve">a </w:t>
      </w:r>
      <w:r w:rsidR="00E747C6" w:rsidRPr="00E747C6">
        <w:t xml:space="preserve">Botany to </w:t>
      </w:r>
      <w:proofErr w:type="spellStart"/>
      <w:r w:rsidR="00E747C6" w:rsidRPr="00E747C6">
        <w:t>Manukau</w:t>
      </w:r>
      <w:proofErr w:type="spellEnd"/>
      <w:r w:rsidR="00E747C6" w:rsidRPr="00E747C6">
        <w:t xml:space="preserve"> li</w:t>
      </w:r>
      <w:r w:rsidR="00930DB1">
        <w:t xml:space="preserve">ne running between </w:t>
      </w:r>
      <w:r w:rsidR="00E747C6" w:rsidRPr="00E747C6">
        <w:t xml:space="preserve">Botany </w:t>
      </w:r>
      <w:r w:rsidR="00930DB1">
        <w:t xml:space="preserve">and </w:t>
      </w:r>
      <w:proofErr w:type="spellStart"/>
      <w:r w:rsidR="00930DB1">
        <w:t>Manukau</w:t>
      </w:r>
      <w:proofErr w:type="spellEnd"/>
      <w:r w:rsidR="00930DB1">
        <w:t xml:space="preserve"> town </w:t>
      </w:r>
      <w:proofErr w:type="spellStart"/>
      <w:r w:rsidR="00930DB1">
        <w:t>centres</w:t>
      </w:r>
      <w:proofErr w:type="spellEnd"/>
      <w:r w:rsidR="00BB5B55">
        <w:t>.</w:t>
      </w:r>
      <w:r w:rsidR="00D91517">
        <w:t xml:space="preserve"> </w:t>
      </w:r>
      <w:r w:rsidR="00D91517" w:rsidRPr="00E747C6">
        <w:t xml:space="preserve">Potential alignments and station locations are depicted in </w:t>
      </w:r>
      <w:r w:rsidR="00A22CD0">
        <w:t>Figure 3</w:t>
      </w:r>
      <w:r w:rsidR="00D91517">
        <w:t>.</w:t>
      </w:r>
      <w:r w:rsidR="007853FF">
        <w:t xml:space="preserve"> </w:t>
      </w:r>
      <w:r w:rsidR="00930DB1">
        <w:t xml:space="preserve">While Auckland Transport is </w:t>
      </w:r>
      <w:r w:rsidR="00E747C6" w:rsidRPr="00E747C6">
        <w:t>considering options for developing LRT corridors, t</w:t>
      </w:r>
      <w:r w:rsidR="007853FF">
        <w:t xml:space="preserve">hese alignments are not currently </w:t>
      </w:r>
      <w:r w:rsidR="00E747C6" w:rsidRPr="00E747C6">
        <w:t xml:space="preserve">under investigation. However, all three have been discussed as </w:t>
      </w:r>
      <w:r w:rsidR="00930DB1">
        <w:t xml:space="preserve">potential </w:t>
      </w:r>
      <w:r w:rsidR="00E747C6" w:rsidRPr="00E747C6">
        <w:t xml:space="preserve">corridors, or, in the case of the Western Bays line, </w:t>
      </w:r>
      <w:r w:rsidR="00A22CD0">
        <w:t xml:space="preserve">have </w:t>
      </w:r>
      <w:r w:rsidR="00930DB1">
        <w:t xml:space="preserve">historically </w:t>
      </w:r>
      <w:r w:rsidR="00A22CD0">
        <w:t xml:space="preserve">been </w:t>
      </w:r>
      <w:r w:rsidR="00E747C6" w:rsidRPr="00E747C6">
        <w:t xml:space="preserve">used as </w:t>
      </w:r>
      <w:r w:rsidR="00930DB1">
        <w:t>a</w:t>
      </w:r>
      <w:r w:rsidR="00E747C6" w:rsidRPr="00E747C6">
        <w:t xml:space="preserve"> tram corridor. </w:t>
      </w:r>
    </w:p>
    <w:p w14:paraId="39BF4A98" w14:textId="45B81F9B" w:rsidR="00D91517" w:rsidRPr="00930DB1" w:rsidRDefault="00D91517" w:rsidP="00D91517">
      <w:pPr>
        <w:pStyle w:val="SectionHeadingLevel2"/>
      </w:pPr>
      <w:r>
        <w:t xml:space="preserve">5.2 Step 1: </w:t>
      </w:r>
      <w:r w:rsidRPr="00E747C6">
        <w:t xml:space="preserve">Identifying </w:t>
      </w:r>
      <w:r>
        <w:t>catchment areas</w:t>
      </w:r>
      <w:r w:rsidR="00A22CD0">
        <w:t xml:space="preserve"> </w:t>
      </w:r>
    </w:p>
    <w:p w14:paraId="486749FA" w14:textId="43A14C95" w:rsidR="00D436F9" w:rsidRDefault="00D436F9" w:rsidP="00D436F9">
      <w:pPr>
        <w:pStyle w:val="BodyA"/>
      </w:pPr>
      <w:r>
        <w:t xml:space="preserve">For defining a catchment area within which property value impacts are relevant, </w:t>
      </w:r>
      <w:r w:rsidR="00F45308">
        <w:t xml:space="preserve">previous </w:t>
      </w:r>
      <w:r>
        <w:t xml:space="preserve">empirical studies have used either threshold distances around stations (usually a simple radius mapped around a station) or estimated rates of decay in property value premiums with increasing distance from stations. For the purposes of ex-ante project evaluation, a threshold measure is likely to be most tractable. </w:t>
      </w:r>
    </w:p>
    <w:p w14:paraId="7A9D85AD" w14:textId="31E0C9F3" w:rsidR="00D91517" w:rsidRPr="00A22CD0" w:rsidRDefault="00F45308" w:rsidP="00196540">
      <w:pPr>
        <w:pStyle w:val="BodyA"/>
        <w:rPr>
          <w:rFonts w:hAnsi="Arial" w:cs="Arial"/>
        </w:rPr>
      </w:pPr>
      <w:r>
        <w:t xml:space="preserve">Based on our review of empirical studies and previous meta-analyses we identify an 800m radius around stations as appropriate for </w:t>
      </w:r>
      <w:r w:rsidR="005746DA">
        <w:t xml:space="preserve">this </w:t>
      </w:r>
      <w:r>
        <w:t>light rail</w:t>
      </w:r>
      <w:r w:rsidR="005746DA">
        <w:t xml:space="preserve"> case study as illustrated in Figure 3</w:t>
      </w:r>
      <w:r>
        <w:t xml:space="preserve">. </w:t>
      </w:r>
      <w:r w:rsidR="005746DA">
        <w:t>While property value impacts may extend further</w:t>
      </w:r>
      <w:r w:rsidR="00196540">
        <w:t xml:space="preserve"> and are commonly reported beyond 1000m distant from stations</w:t>
      </w:r>
      <w:r w:rsidR="005746DA">
        <w:t>,</w:t>
      </w:r>
      <w:r w:rsidR="00196540">
        <w:t xml:space="preserve"> decay rates with distance are also frequently reported and</w:t>
      </w:r>
      <w:r w:rsidR="005746DA">
        <w:t xml:space="preserve"> t</w:t>
      </w:r>
      <w:r>
        <w:t xml:space="preserve">he most significant impacts </w:t>
      </w:r>
      <w:r w:rsidR="005746DA">
        <w:t>are</w:t>
      </w:r>
      <w:r>
        <w:t xml:space="preserve"> likely to </w:t>
      </w:r>
      <w:r w:rsidR="005746DA">
        <w:t xml:space="preserve">occur within </w:t>
      </w:r>
      <w:r w:rsidR="00196540">
        <w:t>800m</w:t>
      </w:r>
      <w:r w:rsidR="005746DA">
        <w:t xml:space="preserve"> (Mohammad et al 2013, GVA </w:t>
      </w:r>
      <w:proofErr w:type="spellStart"/>
      <w:r w:rsidR="005746DA">
        <w:t>Grimley</w:t>
      </w:r>
      <w:proofErr w:type="spellEnd"/>
      <w:r w:rsidR="005746DA">
        <w:t xml:space="preserve"> 2004). A</w:t>
      </w:r>
      <w:r>
        <w:t xml:space="preserve">lthough </w:t>
      </w:r>
      <w:r w:rsidR="005746DA">
        <w:t xml:space="preserve">some previous </w:t>
      </w:r>
      <w:r>
        <w:t xml:space="preserve">studies </w:t>
      </w:r>
      <w:r w:rsidR="005746DA">
        <w:t>suggest smaller catchment areas are relevant for commercial property (</w:t>
      </w:r>
      <w:proofErr w:type="spellStart"/>
      <w:r w:rsidR="005746DA">
        <w:t>Debrezion</w:t>
      </w:r>
      <w:proofErr w:type="spellEnd"/>
      <w:r w:rsidR="005746DA">
        <w:t xml:space="preserve"> 2007, GVA </w:t>
      </w:r>
      <w:proofErr w:type="spellStart"/>
      <w:r w:rsidR="005746DA">
        <w:t>Grimley</w:t>
      </w:r>
      <w:proofErr w:type="spellEnd"/>
      <w:r w:rsidR="005746DA">
        <w:t xml:space="preserve"> 2004), o</w:t>
      </w:r>
      <w:r w:rsidR="00D436F9">
        <w:t>ur review of empirical studies finds no co</w:t>
      </w:r>
      <w:r w:rsidR="005746DA">
        <w:t>nsistent evidence on different catchment areas</w:t>
      </w:r>
      <w:r w:rsidR="00D436F9">
        <w:t xml:space="preserve"> </w:t>
      </w:r>
      <w:r w:rsidR="005746DA">
        <w:t>according to property type and</w:t>
      </w:r>
      <w:r w:rsidR="00DC0D26">
        <w:t xml:space="preserve"> thus</w:t>
      </w:r>
      <w:r w:rsidR="005746DA">
        <w:t xml:space="preserve"> we use an 800m catchment for both residential and commercial property.</w:t>
      </w:r>
      <w:r w:rsidR="004A348A">
        <w:t xml:space="preserve"> A more precise method for defining catchment areas could use </w:t>
      </w:r>
      <w:r w:rsidR="00380D17">
        <w:t xml:space="preserve">street/ pedestrian </w:t>
      </w:r>
      <w:r w:rsidR="004A348A">
        <w:t xml:space="preserve">network distance, rather than </w:t>
      </w:r>
      <w:proofErr w:type="gramStart"/>
      <w:r w:rsidR="004A348A">
        <w:t>straight line</w:t>
      </w:r>
      <w:proofErr w:type="gramEnd"/>
      <w:r w:rsidR="004A348A">
        <w:t xml:space="preserve"> distance from stations.</w:t>
      </w:r>
    </w:p>
    <w:p w14:paraId="47447ADA" w14:textId="0B93C9E8" w:rsidR="00F45308" w:rsidRPr="00930DB1" w:rsidRDefault="00063CFB" w:rsidP="00F45308">
      <w:pPr>
        <w:pStyle w:val="SectionHeadingLevel2"/>
      </w:pPr>
      <w:r>
        <w:t>5.3</w:t>
      </w:r>
      <w:r w:rsidR="00196540">
        <w:t xml:space="preserve"> Step 2: Identifying </w:t>
      </w:r>
      <w:r w:rsidR="00F45308">
        <w:t>baseline property values</w:t>
      </w:r>
    </w:p>
    <w:p w14:paraId="2983171E" w14:textId="08988D75" w:rsidR="00E56CBD" w:rsidRPr="00A22CD0" w:rsidRDefault="00E56CBD" w:rsidP="00A22CD0">
      <w:pPr>
        <w:jc w:val="both"/>
        <w:rPr>
          <w:rFonts w:ascii="Arial" w:hAnsi="Arial" w:cs="Arial"/>
          <w:sz w:val="22"/>
          <w:szCs w:val="22"/>
        </w:rPr>
      </w:pPr>
      <w:r w:rsidRPr="00A22CD0">
        <w:rPr>
          <w:rFonts w:ascii="Arial" w:hAnsi="Arial" w:cs="Arial"/>
          <w:sz w:val="22"/>
          <w:szCs w:val="22"/>
        </w:rPr>
        <w:t>Baseline property values</w:t>
      </w:r>
      <w:r w:rsidRPr="00A22CD0">
        <w:rPr>
          <w:rFonts w:ascii="Arial" w:hAnsi="Arial"/>
          <w:sz w:val="22"/>
          <w:szCs w:val="22"/>
        </w:rPr>
        <w:t xml:space="preserve"> </w:t>
      </w:r>
      <w:r w:rsidRPr="00A22CD0">
        <w:rPr>
          <w:rFonts w:ascii="Arial" w:hAnsi="Arial" w:cs="Arial"/>
          <w:sz w:val="22"/>
          <w:szCs w:val="22"/>
        </w:rPr>
        <w:t>within the catchment areas are a key input into our analysis. High values tend to indicate that locations are intensely used or in high demand and, hence, that the potential for economic benefits from improved accessibility are likely to be relatively high.</w:t>
      </w:r>
      <w:r w:rsidR="00A22CD0" w:rsidRPr="00A22CD0">
        <w:rPr>
          <w:rFonts w:ascii="Arial" w:hAnsi="Arial" w:cs="Arial"/>
          <w:sz w:val="22"/>
          <w:szCs w:val="22"/>
        </w:rPr>
        <w:t xml:space="preserve"> </w:t>
      </w:r>
      <w:r w:rsidRPr="00A22CD0">
        <w:rPr>
          <w:rFonts w:ascii="Arial" w:hAnsi="Arial"/>
          <w:sz w:val="22"/>
          <w:szCs w:val="22"/>
        </w:rPr>
        <w:t xml:space="preserve">GVA </w:t>
      </w:r>
      <w:proofErr w:type="spellStart"/>
      <w:r w:rsidRPr="00A22CD0">
        <w:rPr>
          <w:rFonts w:ascii="Arial" w:hAnsi="Arial"/>
          <w:sz w:val="22"/>
          <w:szCs w:val="22"/>
        </w:rPr>
        <w:t>Grimley</w:t>
      </w:r>
      <w:proofErr w:type="spellEnd"/>
      <w:r w:rsidRPr="00A22CD0">
        <w:rPr>
          <w:rFonts w:ascii="Arial" w:hAnsi="Arial"/>
          <w:sz w:val="22"/>
          <w:szCs w:val="22"/>
        </w:rPr>
        <w:t xml:space="preserve"> (2004) </w:t>
      </w:r>
      <w:proofErr w:type="gramStart"/>
      <w:r w:rsidRPr="00A22CD0">
        <w:rPr>
          <w:rFonts w:ascii="Arial" w:hAnsi="Arial"/>
          <w:sz w:val="22"/>
          <w:szCs w:val="22"/>
        </w:rPr>
        <w:t>recommend</w:t>
      </w:r>
      <w:proofErr w:type="gramEnd"/>
      <w:r w:rsidRPr="00A22CD0">
        <w:rPr>
          <w:rFonts w:ascii="Arial" w:hAnsi="Arial"/>
          <w:sz w:val="22"/>
          <w:szCs w:val="22"/>
        </w:rPr>
        <w:t xml:space="preserve"> the use of property transaction records or government property valuations used for tax purposes. Empirical studies have used various datasets including sales transactions, listed sales prices and valuations for property tax assessment. </w:t>
      </w:r>
      <w:r w:rsidRPr="00A22CD0">
        <w:rPr>
          <w:rFonts w:ascii="Arial" w:hAnsi="Arial" w:cs="Arial"/>
          <w:sz w:val="22"/>
          <w:szCs w:val="22"/>
        </w:rPr>
        <w:t xml:space="preserve">For the purposes of this case study, we have estimated current land values as a function of two key variables that have been found to have a significant effect on property values: </w:t>
      </w:r>
      <w:r w:rsidRPr="00A22CD0">
        <w:rPr>
          <w:rFonts w:ascii="Arial" w:hAnsi="Arial" w:cs="Arial"/>
          <w:sz w:val="22"/>
          <w:szCs w:val="22"/>
        </w:rPr>
        <w:lastRenderedPageBreak/>
        <w:t xml:space="preserve">proximity to the city </w:t>
      </w:r>
      <w:proofErr w:type="spellStart"/>
      <w:r w:rsidRPr="00A22CD0">
        <w:rPr>
          <w:rFonts w:ascii="Arial" w:hAnsi="Arial" w:cs="Arial"/>
          <w:sz w:val="22"/>
          <w:szCs w:val="22"/>
        </w:rPr>
        <w:t>centre</w:t>
      </w:r>
      <w:proofErr w:type="spellEnd"/>
      <w:r w:rsidRPr="00A22CD0">
        <w:rPr>
          <w:rFonts w:ascii="Arial" w:hAnsi="Arial" w:cs="Arial"/>
          <w:sz w:val="22"/>
          <w:szCs w:val="22"/>
        </w:rPr>
        <w:t xml:space="preserve"> (DCBD) and proximity to the coast (DCOAST)</w:t>
      </w:r>
      <w:r w:rsidRPr="00A22CD0">
        <w:rPr>
          <w:rStyle w:val="FootnoteReference"/>
          <w:rFonts w:ascii="Arial" w:hAnsi="Arial" w:cs="Arial"/>
          <w:sz w:val="22"/>
          <w:szCs w:val="22"/>
        </w:rPr>
        <w:footnoteReference w:id="2"/>
      </w:r>
      <w:r w:rsidRPr="00A22CD0">
        <w:rPr>
          <w:rFonts w:ascii="Arial" w:hAnsi="Arial" w:cs="Arial"/>
          <w:sz w:val="22"/>
          <w:szCs w:val="22"/>
        </w:rPr>
        <w:t>. We model residential and business land values at a detailed geographic level based on the results of a simple hedonic analysis of Auckland land valuation data</w:t>
      </w:r>
      <w:r w:rsidRPr="00A22CD0">
        <w:rPr>
          <w:rStyle w:val="FootnoteReference"/>
          <w:rFonts w:ascii="Arial" w:hAnsi="Arial" w:cs="Arial"/>
          <w:sz w:val="22"/>
          <w:szCs w:val="22"/>
        </w:rPr>
        <w:footnoteReference w:id="3"/>
      </w:r>
      <w:r w:rsidRPr="00A22CD0">
        <w:rPr>
          <w:rFonts w:ascii="Arial" w:hAnsi="Arial" w:cs="Arial"/>
          <w:sz w:val="22"/>
          <w:szCs w:val="22"/>
        </w:rPr>
        <w:t xml:space="preserve">. We find that these two explanatory variables explain roughly 52% of the variation in land values. </w:t>
      </w:r>
      <w:r w:rsidR="001D4E4B">
        <w:rPr>
          <w:rFonts w:ascii="Arial" w:hAnsi="Arial" w:cs="Arial"/>
          <w:sz w:val="22"/>
          <w:szCs w:val="22"/>
        </w:rPr>
        <w:t>Equation 1</w:t>
      </w:r>
      <w:r w:rsidRPr="00380D17">
        <w:rPr>
          <w:rFonts w:ascii="Arial" w:hAnsi="Arial" w:cs="Arial"/>
          <w:sz w:val="22"/>
          <w:szCs w:val="22"/>
        </w:rPr>
        <w:t xml:space="preserve"> describes</w:t>
      </w:r>
      <w:r w:rsidRPr="00A22CD0">
        <w:rPr>
          <w:rFonts w:ascii="Arial" w:hAnsi="Arial" w:cs="Arial"/>
          <w:sz w:val="22"/>
          <w:szCs w:val="22"/>
        </w:rPr>
        <w:t xml:space="preserve"> our model of land values in a given </w:t>
      </w:r>
      <w:proofErr w:type="spellStart"/>
      <w:r w:rsidRPr="00A22CD0">
        <w:rPr>
          <w:rFonts w:ascii="Arial" w:hAnsi="Arial" w:cs="Arial"/>
          <w:sz w:val="22"/>
          <w:szCs w:val="22"/>
        </w:rPr>
        <w:t>meshblock</w:t>
      </w:r>
      <w:proofErr w:type="spellEnd"/>
      <w:r w:rsidRPr="00A22CD0">
        <w:rPr>
          <w:rFonts w:ascii="Arial" w:hAnsi="Arial" w:cs="Arial"/>
          <w:sz w:val="22"/>
          <w:szCs w:val="22"/>
        </w:rPr>
        <w:t xml:space="preserve"> (</w:t>
      </w:r>
      <w:proofErr w:type="spellStart"/>
      <w:r w:rsidRPr="00A22CD0">
        <w:rPr>
          <w:rFonts w:ascii="Arial" w:hAnsi="Arial" w:cs="Arial"/>
          <w:sz w:val="22"/>
          <w:szCs w:val="22"/>
        </w:rPr>
        <w:t>LV</w:t>
      </w:r>
      <w:r w:rsidRPr="00A22CD0">
        <w:rPr>
          <w:rFonts w:ascii="Arial" w:hAnsi="Arial" w:cs="Arial"/>
          <w:sz w:val="22"/>
          <w:szCs w:val="22"/>
          <w:vertAlign w:val="subscript"/>
        </w:rPr>
        <w:t>i</w:t>
      </w:r>
      <w:proofErr w:type="spellEnd"/>
      <w:r w:rsidRPr="00A22CD0">
        <w:rPr>
          <w:rFonts w:ascii="Arial" w:hAnsi="Arial" w:cs="Arial"/>
          <w:sz w:val="22"/>
          <w:szCs w:val="22"/>
        </w:rPr>
        <w:t>).</w:t>
      </w:r>
    </w:p>
    <w:p w14:paraId="4EFE7949" w14:textId="77777777" w:rsidR="00A22CD0" w:rsidRPr="00A22CD0" w:rsidRDefault="00A22CD0" w:rsidP="00A22CD0">
      <w:pPr>
        <w:jc w:val="both"/>
        <w:rPr>
          <w:rFonts w:ascii="Arial" w:hAnsi="Arial" w:cs="Arial"/>
          <w:sz w:val="22"/>
          <w:szCs w:val="22"/>
        </w:rPr>
      </w:pPr>
    </w:p>
    <w:p w14:paraId="251AAEB8" w14:textId="77777777" w:rsidR="00E56CBD" w:rsidRPr="00D91517" w:rsidRDefault="00E56CBD" w:rsidP="00E56CBD">
      <w:pPr>
        <w:pStyle w:val="Caption"/>
        <w:rPr>
          <w:rFonts w:ascii="Arial" w:hAnsi="Arial" w:cs="Arial"/>
          <w:color w:val="auto"/>
          <w:sz w:val="20"/>
          <w:szCs w:val="20"/>
        </w:rPr>
      </w:pPr>
      <w:bookmarkStart w:id="0" w:name="_Ref294880608"/>
      <w:r w:rsidRPr="00D91517">
        <w:rPr>
          <w:rFonts w:ascii="Arial" w:hAnsi="Arial" w:cs="Arial"/>
          <w:color w:val="auto"/>
          <w:sz w:val="20"/>
          <w:szCs w:val="20"/>
        </w:rPr>
        <w:t xml:space="preserve">Equation </w:t>
      </w:r>
      <w:r w:rsidRPr="00D91517">
        <w:rPr>
          <w:rFonts w:ascii="Arial" w:hAnsi="Arial" w:cs="Arial"/>
          <w:color w:val="auto"/>
          <w:sz w:val="20"/>
          <w:szCs w:val="20"/>
        </w:rPr>
        <w:fldChar w:fldCharType="begin"/>
      </w:r>
      <w:r w:rsidRPr="00D91517">
        <w:rPr>
          <w:rFonts w:ascii="Arial" w:hAnsi="Arial" w:cs="Arial"/>
          <w:color w:val="auto"/>
          <w:sz w:val="20"/>
          <w:szCs w:val="20"/>
        </w:rPr>
        <w:instrText xml:space="preserve"> SEQ Equation \* ARABIC </w:instrText>
      </w:r>
      <w:r w:rsidRPr="00D91517">
        <w:rPr>
          <w:rFonts w:ascii="Arial" w:hAnsi="Arial" w:cs="Arial"/>
          <w:color w:val="auto"/>
          <w:sz w:val="20"/>
          <w:szCs w:val="20"/>
        </w:rPr>
        <w:fldChar w:fldCharType="separate"/>
      </w:r>
      <w:r w:rsidR="00194CCC">
        <w:rPr>
          <w:rFonts w:ascii="Arial" w:hAnsi="Arial" w:cs="Arial"/>
          <w:noProof/>
          <w:color w:val="auto"/>
          <w:sz w:val="20"/>
          <w:szCs w:val="20"/>
        </w:rPr>
        <w:t>1</w:t>
      </w:r>
      <w:r w:rsidRPr="00D91517">
        <w:rPr>
          <w:rFonts w:ascii="Arial" w:hAnsi="Arial" w:cs="Arial"/>
          <w:noProof/>
          <w:color w:val="auto"/>
          <w:sz w:val="20"/>
          <w:szCs w:val="20"/>
        </w:rPr>
        <w:fldChar w:fldCharType="end"/>
      </w:r>
      <w:bookmarkEnd w:id="0"/>
      <w:r w:rsidRPr="00D91517">
        <w:rPr>
          <w:rFonts w:ascii="Arial" w:hAnsi="Arial" w:cs="Arial"/>
          <w:color w:val="auto"/>
          <w:sz w:val="20"/>
          <w:szCs w:val="20"/>
        </w:rPr>
        <w:t>: A simple model of Auckland land values</w:t>
      </w:r>
    </w:p>
    <w:p w14:paraId="0BAD9400" w14:textId="77777777" w:rsidR="00E56CBD" w:rsidRPr="00E747C6" w:rsidRDefault="00194CCC" w:rsidP="00E56CBD">
      <w:pPr>
        <w:rPr>
          <w:rFonts w:ascii="Arial" w:hAnsi="Arial" w:cs="Arial"/>
        </w:rPr>
      </w:pPr>
      <m:oMathPara>
        <m:oMath>
          <m:sSub>
            <m:sSubPr>
              <m:ctrlPr>
                <w:rPr>
                  <w:rFonts w:ascii="Cambria Math" w:hAnsi="Cambria Math" w:cs="Arial"/>
                  <w:i/>
                </w:rPr>
              </m:ctrlPr>
            </m:sSubPr>
            <m:e>
              <m:r>
                <w:rPr>
                  <w:rFonts w:ascii="Cambria Math" w:hAnsi="Cambria Math" w:cs="Arial"/>
                </w:rPr>
                <m:t>LV</m:t>
              </m:r>
            </m:e>
            <m:sub>
              <m:r>
                <w:rPr>
                  <w:rFonts w:ascii="Cambria Math" w:hAnsi="Cambria Math" w:cs="Arial"/>
                </w:rPr>
                <m:t>i</m:t>
              </m:r>
            </m:sub>
          </m:sSub>
          <m:r>
            <w:rPr>
              <w:rFonts w:ascii="Cambria Math" w:hAnsi="Cambria Math" w:cs="Arial"/>
            </w:rPr>
            <m:t>=1.024*</m:t>
          </m:r>
          <m:r>
            <m:rPr>
              <m:sty m:val="p"/>
            </m:rPr>
            <w:rPr>
              <w:rFonts w:ascii="Cambria Math" w:hAnsi="Cambria Math" w:cs="Arial"/>
            </w:rPr>
            <m:t>exp⁡</m:t>
          </m:r>
          <m:r>
            <w:rPr>
              <w:rFonts w:ascii="Cambria Math" w:hAnsi="Cambria Math" w:cs="Arial"/>
            </w:rPr>
            <m:t>(13.255-0.730*</m:t>
          </m:r>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DCBD</m:t>
                      </m:r>
                    </m:e>
                    <m:sub>
                      <m:r>
                        <w:rPr>
                          <w:rFonts w:ascii="Cambria Math" w:hAnsi="Cambria Math" w:cs="Arial"/>
                        </w:rPr>
                        <m:t>i</m:t>
                      </m:r>
                    </m:sub>
                  </m:sSub>
                </m:e>
              </m:d>
            </m:e>
          </m:func>
          <m:r>
            <w:rPr>
              <w:rFonts w:ascii="Cambria Math" w:hAnsi="Cambria Math" w:cs="Arial"/>
            </w:rPr>
            <m:t>-0.048*</m:t>
          </m:r>
          <m:func>
            <m:funcPr>
              <m:ctrlPr>
                <w:rPr>
                  <w:rFonts w:ascii="Cambria Math" w:hAnsi="Cambria Math" w:cs="Arial"/>
                </w:rPr>
              </m:ctrlPr>
            </m:funcPr>
            <m:fName>
              <m:r>
                <m:rPr>
                  <m:sty m:val="p"/>
                </m:rPr>
                <w:rPr>
                  <w:rFonts w:ascii="Cambria Math" w:hAnsi="Cambria Math" w:cs="Arial"/>
                </w:rPr>
                <m:t>ln</m:t>
              </m:r>
              <m:ctrlPr>
                <w:rPr>
                  <w:rFonts w:ascii="Cambria Math" w:hAnsi="Cambria Math" w:cs="Arial"/>
                  <w:i/>
                </w:rPr>
              </m:ctrlPr>
            </m:fName>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DCOAST</m:t>
                      </m:r>
                    </m:e>
                    <m:sub>
                      <m:r>
                        <w:rPr>
                          <w:rFonts w:ascii="Cambria Math" w:hAnsi="Cambria Math" w:cs="Arial"/>
                        </w:rPr>
                        <m:t>i</m:t>
                      </m:r>
                    </m:sub>
                  </m:sSub>
                </m:e>
              </m:d>
            </m:e>
          </m:func>
          <m:r>
            <w:rPr>
              <w:rFonts w:ascii="Cambria Math" w:hAnsi="Cambria Math" w:cs="Arial"/>
            </w:rPr>
            <m:t>)</m:t>
          </m:r>
        </m:oMath>
      </m:oMathPara>
    </w:p>
    <w:p w14:paraId="1D137E99" w14:textId="77777777" w:rsidR="00E56CBD" w:rsidRPr="00E747C6" w:rsidRDefault="00E56CBD" w:rsidP="00E56CBD">
      <w:pPr>
        <w:rPr>
          <w:rFonts w:ascii="Arial" w:hAnsi="Arial" w:cs="Arial"/>
          <w:sz w:val="22"/>
          <w:szCs w:val="22"/>
        </w:rPr>
      </w:pPr>
    </w:p>
    <w:p w14:paraId="39288BB9" w14:textId="1960FEB8" w:rsidR="00E56CBD" w:rsidRPr="00A22CD0" w:rsidRDefault="00E56CBD" w:rsidP="00E56CBD">
      <w:pPr>
        <w:jc w:val="both"/>
        <w:rPr>
          <w:rFonts w:ascii="Arial" w:hAnsi="Arial" w:cs="Arial"/>
          <w:sz w:val="22"/>
          <w:szCs w:val="22"/>
        </w:rPr>
      </w:pPr>
      <w:r w:rsidRPr="00A22CD0">
        <w:rPr>
          <w:rFonts w:ascii="Arial" w:hAnsi="Arial" w:cs="Arial"/>
          <w:sz w:val="22"/>
          <w:szCs w:val="22"/>
        </w:rPr>
        <w:t xml:space="preserve">Modelled land values deviate from actual land values in some areas, especially </w:t>
      </w:r>
      <w:r w:rsidR="00A22CD0">
        <w:rPr>
          <w:rFonts w:ascii="Arial" w:hAnsi="Arial" w:cs="Arial"/>
          <w:sz w:val="22"/>
          <w:szCs w:val="22"/>
        </w:rPr>
        <w:t xml:space="preserve">where other localised amenities/ </w:t>
      </w:r>
      <w:proofErr w:type="spellStart"/>
      <w:r w:rsidR="00A22CD0">
        <w:rPr>
          <w:rFonts w:ascii="Arial" w:hAnsi="Arial" w:cs="Arial"/>
          <w:sz w:val="22"/>
          <w:szCs w:val="22"/>
        </w:rPr>
        <w:t>disamenities</w:t>
      </w:r>
      <w:proofErr w:type="spellEnd"/>
      <w:r w:rsidRPr="00A22CD0">
        <w:rPr>
          <w:rFonts w:ascii="Arial" w:hAnsi="Arial" w:cs="Arial"/>
          <w:sz w:val="22"/>
          <w:szCs w:val="22"/>
        </w:rPr>
        <w:t xml:space="preserve"> are present. Nonetheless, this simple model of land values reflects</w:t>
      </w:r>
      <w:r w:rsidR="0032769B">
        <w:rPr>
          <w:rFonts w:ascii="Arial" w:hAnsi="Arial" w:cs="Arial"/>
          <w:sz w:val="22"/>
          <w:szCs w:val="22"/>
        </w:rPr>
        <w:t xml:space="preserve"> the</w:t>
      </w:r>
      <w:r w:rsidRPr="00A22CD0">
        <w:rPr>
          <w:rFonts w:ascii="Arial" w:hAnsi="Arial" w:cs="Arial"/>
          <w:sz w:val="22"/>
          <w:szCs w:val="22"/>
        </w:rPr>
        <w:t xml:space="preserve"> value place</w:t>
      </w:r>
      <w:r w:rsidR="00A22CD0">
        <w:rPr>
          <w:rFonts w:ascii="Arial" w:hAnsi="Arial" w:cs="Arial"/>
          <w:sz w:val="22"/>
          <w:szCs w:val="22"/>
        </w:rPr>
        <w:t>d on proximity to</w:t>
      </w:r>
      <w:r w:rsidRPr="00A22CD0">
        <w:rPr>
          <w:rFonts w:ascii="Arial" w:hAnsi="Arial" w:cs="Arial"/>
          <w:sz w:val="22"/>
          <w:szCs w:val="22"/>
        </w:rPr>
        <w:t xml:space="preserve"> employment and </w:t>
      </w:r>
      <w:r w:rsidR="00A22CD0">
        <w:rPr>
          <w:rFonts w:ascii="Arial" w:hAnsi="Arial" w:cs="Arial"/>
          <w:sz w:val="22"/>
          <w:szCs w:val="22"/>
        </w:rPr>
        <w:t>other</w:t>
      </w:r>
      <w:r w:rsidRPr="00A22CD0">
        <w:rPr>
          <w:rFonts w:ascii="Arial" w:hAnsi="Arial" w:cs="Arial"/>
          <w:sz w:val="22"/>
          <w:szCs w:val="22"/>
        </w:rPr>
        <w:t xml:space="preserve"> opportunities</w:t>
      </w:r>
      <w:r w:rsidR="00A22CD0">
        <w:rPr>
          <w:rFonts w:ascii="Arial" w:hAnsi="Arial" w:cs="Arial"/>
          <w:sz w:val="22"/>
          <w:szCs w:val="22"/>
        </w:rPr>
        <w:t xml:space="preserve"> in the city </w:t>
      </w:r>
      <w:proofErr w:type="spellStart"/>
      <w:r w:rsidR="00A22CD0">
        <w:rPr>
          <w:rFonts w:ascii="Arial" w:hAnsi="Arial" w:cs="Arial"/>
          <w:sz w:val="22"/>
          <w:szCs w:val="22"/>
        </w:rPr>
        <w:t>centre</w:t>
      </w:r>
      <w:proofErr w:type="spellEnd"/>
      <w:r w:rsidRPr="00A22CD0">
        <w:rPr>
          <w:rFonts w:ascii="Arial" w:hAnsi="Arial" w:cs="Arial"/>
          <w:sz w:val="22"/>
          <w:szCs w:val="22"/>
        </w:rPr>
        <w:t xml:space="preserve">, and to the coast, which reflects environmental amenities. After modelling land values at a </w:t>
      </w:r>
      <w:proofErr w:type="spellStart"/>
      <w:r w:rsidRPr="00A22CD0">
        <w:rPr>
          <w:rFonts w:ascii="Arial" w:hAnsi="Arial" w:cs="Arial"/>
          <w:sz w:val="22"/>
          <w:szCs w:val="22"/>
        </w:rPr>
        <w:t>meshblock</w:t>
      </w:r>
      <w:proofErr w:type="spellEnd"/>
      <w:r w:rsidRPr="00A22CD0">
        <w:rPr>
          <w:rFonts w:ascii="Arial" w:hAnsi="Arial" w:cs="Arial"/>
          <w:sz w:val="22"/>
          <w:szCs w:val="22"/>
        </w:rPr>
        <w:t xml:space="preserve"> level, we allocate land values to commercial or residential property based on the ratio of residential population to </w:t>
      </w:r>
      <w:r w:rsidR="00BF4AC4">
        <w:rPr>
          <w:rFonts w:ascii="Arial" w:hAnsi="Arial" w:cs="Arial"/>
          <w:sz w:val="22"/>
          <w:szCs w:val="22"/>
        </w:rPr>
        <w:t>jobs</w:t>
      </w:r>
      <w:r w:rsidRPr="00A22CD0">
        <w:rPr>
          <w:rFonts w:ascii="Arial" w:hAnsi="Arial" w:cs="Arial"/>
          <w:sz w:val="22"/>
          <w:szCs w:val="22"/>
        </w:rPr>
        <w:t xml:space="preserve"> from the 2013 Census</w:t>
      </w:r>
      <w:r w:rsidR="0032769B">
        <w:rPr>
          <w:rStyle w:val="FootnoteReference"/>
          <w:rFonts w:ascii="Arial" w:hAnsi="Arial" w:cs="Arial"/>
          <w:sz w:val="22"/>
          <w:szCs w:val="22"/>
        </w:rPr>
        <w:footnoteReference w:id="4"/>
      </w:r>
      <w:r w:rsidRPr="00A22CD0">
        <w:rPr>
          <w:rFonts w:ascii="Arial" w:hAnsi="Arial" w:cs="Arial"/>
          <w:sz w:val="22"/>
          <w:szCs w:val="22"/>
        </w:rPr>
        <w:t>.</w:t>
      </w:r>
      <w:bookmarkStart w:id="1" w:name="_Ref285373803"/>
    </w:p>
    <w:p w14:paraId="3DFBC4A1" w14:textId="77777777" w:rsidR="00E56CBD" w:rsidRPr="00E56CBD" w:rsidRDefault="00E56CBD" w:rsidP="00E56CBD">
      <w:pPr>
        <w:jc w:val="both"/>
        <w:rPr>
          <w:rFonts w:ascii="Arial" w:hAnsi="Arial" w:cs="Arial"/>
          <w:sz w:val="22"/>
          <w:szCs w:val="22"/>
        </w:rPr>
      </w:pPr>
    </w:p>
    <w:p w14:paraId="63AB724F" w14:textId="26B6D462" w:rsidR="00E56CBD" w:rsidRPr="005A6B56" w:rsidRDefault="00E56CBD" w:rsidP="00E56CBD">
      <w:pPr>
        <w:pStyle w:val="Caption"/>
        <w:rPr>
          <w:rFonts w:ascii="Arial" w:hAnsi="Arial" w:cs="Arial"/>
          <w:color w:val="auto"/>
          <w:sz w:val="20"/>
          <w:szCs w:val="20"/>
        </w:rPr>
      </w:pPr>
      <w:r w:rsidRPr="005A6B56">
        <w:rPr>
          <w:rFonts w:ascii="Arial" w:hAnsi="Arial" w:cs="Arial"/>
          <w:color w:val="auto"/>
          <w:sz w:val="20"/>
          <w:szCs w:val="20"/>
        </w:rPr>
        <w:t xml:space="preserve">Figure </w:t>
      </w:r>
      <w:bookmarkEnd w:id="1"/>
      <w:r w:rsidR="00A22CD0">
        <w:rPr>
          <w:rFonts w:ascii="Arial" w:hAnsi="Arial" w:cs="Arial"/>
          <w:color w:val="auto"/>
          <w:sz w:val="20"/>
          <w:szCs w:val="20"/>
        </w:rPr>
        <w:t>3</w:t>
      </w:r>
      <w:r w:rsidRPr="005A6B56">
        <w:rPr>
          <w:rFonts w:ascii="Arial" w:hAnsi="Arial" w:cs="Arial"/>
          <w:color w:val="auto"/>
          <w:sz w:val="20"/>
          <w:szCs w:val="20"/>
        </w:rPr>
        <w:t>: Walk-up catchments and modelled land values around three hypothetical LRT lines</w:t>
      </w:r>
    </w:p>
    <w:p w14:paraId="6608A2EE" w14:textId="59D828A2" w:rsidR="00E56CBD" w:rsidRDefault="00DC0D26" w:rsidP="00E56CBD">
      <w:pPr>
        <w:pStyle w:val="SectionHeadingLevel2"/>
        <w:ind w:left="0" w:firstLine="0"/>
      </w:pPr>
      <w:r>
        <w:rPr>
          <w:noProof/>
        </w:rPr>
        <w:drawing>
          <wp:inline distT="0" distB="0" distL="0" distR="0" wp14:anchorId="549BB354" wp14:editId="31FA35AA">
            <wp:extent cx="5718122" cy="40438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T catchments and land values map v2.jpg"/>
                    <pic:cNvPicPr/>
                  </pic:nvPicPr>
                  <pic:blipFill>
                    <a:blip r:embed="rId11">
                      <a:extLst>
                        <a:ext uri="{28A0092B-C50C-407E-A947-70E740481C1C}">
                          <a14:useLocalDpi xmlns:a14="http://schemas.microsoft.com/office/drawing/2010/main" val="0"/>
                        </a:ext>
                      </a:extLst>
                    </a:blip>
                    <a:stretch>
                      <a:fillRect/>
                    </a:stretch>
                  </pic:blipFill>
                  <pic:spPr>
                    <a:xfrm>
                      <a:off x="0" y="0"/>
                      <a:ext cx="5721675" cy="4046330"/>
                    </a:xfrm>
                    <a:prstGeom prst="rect">
                      <a:avLst/>
                    </a:prstGeom>
                  </pic:spPr>
                </pic:pic>
              </a:graphicData>
            </a:graphic>
          </wp:inline>
        </w:drawing>
      </w:r>
    </w:p>
    <w:p w14:paraId="03B299CF" w14:textId="391899E2" w:rsidR="00E747C6" w:rsidRPr="00930DB1" w:rsidRDefault="00300826" w:rsidP="00E56CBD">
      <w:pPr>
        <w:jc w:val="both"/>
        <w:rPr>
          <w:rFonts w:ascii="Arial" w:hAnsi="Arial" w:cs="Arial"/>
          <w:sz w:val="22"/>
          <w:szCs w:val="22"/>
        </w:rPr>
      </w:pPr>
      <w:r>
        <w:rPr>
          <w:rFonts w:ascii="Arial" w:hAnsi="Arial" w:cs="Arial"/>
          <w:sz w:val="22"/>
          <w:szCs w:val="22"/>
        </w:rPr>
        <w:lastRenderedPageBreak/>
        <w:t xml:space="preserve">Table </w:t>
      </w:r>
      <w:r w:rsidR="00380D17">
        <w:rPr>
          <w:rFonts w:ascii="Arial" w:hAnsi="Arial" w:cs="Arial"/>
          <w:sz w:val="22"/>
          <w:szCs w:val="22"/>
        </w:rPr>
        <w:t>4</w:t>
      </w:r>
      <w:r w:rsidR="00930DB1">
        <w:rPr>
          <w:rFonts w:ascii="Arial" w:hAnsi="Arial" w:cs="Arial"/>
          <w:sz w:val="22"/>
          <w:szCs w:val="22"/>
        </w:rPr>
        <w:t xml:space="preserve"> </w:t>
      </w:r>
      <w:proofErr w:type="spellStart"/>
      <w:r w:rsidR="00E747C6" w:rsidRPr="00930DB1">
        <w:rPr>
          <w:rFonts w:ascii="Arial" w:hAnsi="Arial" w:cs="Arial"/>
          <w:sz w:val="22"/>
          <w:szCs w:val="22"/>
        </w:rPr>
        <w:t>summarises</w:t>
      </w:r>
      <w:proofErr w:type="spellEnd"/>
      <w:r w:rsidR="00E747C6" w:rsidRPr="00930DB1">
        <w:rPr>
          <w:rFonts w:ascii="Arial" w:hAnsi="Arial" w:cs="Arial"/>
          <w:sz w:val="22"/>
          <w:szCs w:val="22"/>
        </w:rPr>
        <w:t xml:space="preserve"> the total land area and </w:t>
      </w:r>
      <w:r w:rsidR="001536CD" w:rsidRPr="00930DB1">
        <w:rPr>
          <w:rFonts w:ascii="Arial" w:hAnsi="Arial" w:cs="Arial"/>
          <w:sz w:val="22"/>
          <w:szCs w:val="22"/>
        </w:rPr>
        <w:t xml:space="preserve">estimated land </w:t>
      </w:r>
      <w:r w:rsidR="00E747C6" w:rsidRPr="00930DB1">
        <w:rPr>
          <w:rFonts w:ascii="Arial" w:hAnsi="Arial" w:cs="Arial"/>
          <w:sz w:val="22"/>
          <w:szCs w:val="22"/>
        </w:rPr>
        <w:t>values within catchments around each of the three LRT lines. As indicated by the above map, the land around the Western Bays line is likely to be most valuable – indicating the relatively high demand for residential and commercial uses in these areas and, potentially, relatively high potential for redevelopment</w:t>
      </w:r>
      <w:r w:rsidR="0032769B">
        <w:rPr>
          <w:rFonts w:ascii="Arial" w:hAnsi="Arial" w:cs="Arial"/>
          <w:sz w:val="22"/>
          <w:szCs w:val="22"/>
        </w:rPr>
        <w:t xml:space="preserve"> provided that it was zoned appropriately</w:t>
      </w:r>
      <w:r w:rsidR="00E747C6" w:rsidRPr="00930DB1">
        <w:rPr>
          <w:rFonts w:ascii="Arial" w:hAnsi="Arial" w:cs="Arial"/>
          <w:sz w:val="22"/>
          <w:szCs w:val="22"/>
        </w:rPr>
        <w:t>.</w:t>
      </w:r>
    </w:p>
    <w:p w14:paraId="75C3523E" w14:textId="77777777" w:rsidR="00E747C6" w:rsidRPr="00E747C6" w:rsidRDefault="00E747C6" w:rsidP="00E747C6">
      <w:pPr>
        <w:rPr>
          <w:rFonts w:ascii="Arial" w:hAnsi="Arial" w:cs="Arial"/>
          <w:sz w:val="22"/>
          <w:szCs w:val="22"/>
        </w:rPr>
      </w:pPr>
    </w:p>
    <w:p w14:paraId="61370FA1" w14:textId="7FD4400D" w:rsidR="00E747C6" w:rsidRPr="00E56CBD" w:rsidRDefault="00E747C6" w:rsidP="00E747C6">
      <w:pPr>
        <w:pStyle w:val="Caption"/>
        <w:rPr>
          <w:rFonts w:ascii="Arial" w:hAnsi="Arial" w:cs="Arial"/>
          <w:color w:val="auto"/>
        </w:rPr>
      </w:pPr>
      <w:bookmarkStart w:id="2" w:name="_Ref285374531"/>
      <w:r w:rsidRPr="00E56CBD">
        <w:rPr>
          <w:rFonts w:ascii="Arial" w:hAnsi="Arial" w:cs="Arial"/>
          <w:color w:val="auto"/>
        </w:rPr>
        <w:t xml:space="preserve">Table </w:t>
      </w:r>
      <w:bookmarkEnd w:id="2"/>
      <w:r w:rsidR="00380D17">
        <w:rPr>
          <w:rFonts w:ascii="Arial" w:hAnsi="Arial" w:cs="Arial"/>
          <w:color w:val="auto"/>
        </w:rPr>
        <w:t>4</w:t>
      </w:r>
      <w:r w:rsidRPr="00E56CBD">
        <w:rPr>
          <w:rFonts w:ascii="Arial" w:hAnsi="Arial" w:cs="Arial"/>
          <w:color w:val="auto"/>
        </w:rPr>
        <w:t>: Land areas and values around three hypothetical LRT lines</w:t>
      </w:r>
    </w:p>
    <w:tbl>
      <w:tblPr>
        <w:tblStyle w:val="TableGrid"/>
        <w:tblW w:w="9147" w:type="dxa"/>
        <w:tblInd w:w="108" w:type="dxa"/>
        <w:tblLayout w:type="fixed"/>
        <w:tblLook w:val="04A0" w:firstRow="1" w:lastRow="0" w:firstColumn="1" w:lastColumn="0" w:noHBand="0" w:noVBand="1"/>
      </w:tblPr>
      <w:tblGrid>
        <w:gridCol w:w="1985"/>
        <w:gridCol w:w="1684"/>
        <w:gridCol w:w="1826"/>
        <w:gridCol w:w="1826"/>
        <w:gridCol w:w="1826"/>
      </w:tblGrid>
      <w:tr w:rsidR="00E56CBD" w:rsidRPr="00E747C6" w14:paraId="6C75CEEE" w14:textId="57513F17" w:rsidTr="00E56CBD">
        <w:trPr>
          <w:trHeight w:val="300"/>
        </w:trPr>
        <w:tc>
          <w:tcPr>
            <w:tcW w:w="1985" w:type="dxa"/>
            <w:noWrap/>
            <w:hideMark/>
          </w:tcPr>
          <w:p w14:paraId="185F7E1D" w14:textId="77777777" w:rsidR="00E747C6" w:rsidRPr="00BB5B55" w:rsidRDefault="00E747C6" w:rsidP="00DF3386">
            <w:pPr>
              <w:rPr>
                <w:rFonts w:ascii="Arial" w:eastAsia="Times New Roman" w:hAnsi="Arial" w:cs="Arial"/>
                <w:b/>
                <w:color w:val="000000"/>
                <w:sz w:val="20"/>
                <w:szCs w:val="20"/>
              </w:rPr>
            </w:pPr>
            <w:r w:rsidRPr="00BB5B55">
              <w:rPr>
                <w:rFonts w:ascii="Arial" w:eastAsia="Times New Roman" w:hAnsi="Arial" w:cs="Arial"/>
                <w:b/>
                <w:color w:val="000000"/>
                <w:sz w:val="20"/>
                <w:szCs w:val="20"/>
              </w:rPr>
              <w:t>Line</w:t>
            </w:r>
          </w:p>
        </w:tc>
        <w:tc>
          <w:tcPr>
            <w:tcW w:w="1684" w:type="dxa"/>
            <w:noWrap/>
            <w:hideMark/>
          </w:tcPr>
          <w:p w14:paraId="2275E438" w14:textId="77777777" w:rsidR="00E747C6" w:rsidRPr="00BB5B55" w:rsidRDefault="00E747C6" w:rsidP="00DF3386">
            <w:pPr>
              <w:jc w:val="center"/>
              <w:rPr>
                <w:rFonts w:ascii="Arial" w:eastAsia="Times New Roman" w:hAnsi="Arial" w:cs="Arial"/>
                <w:b/>
                <w:color w:val="000000"/>
                <w:sz w:val="20"/>
                <w:szCs w:val="20"/>
              </w:rPr>
            </w:pPr>
            <w:r w:rsidRPr="00BB5B55">
              <w:rPr>
                <w:rFonts w:ascii="Arial" w:eastAsia="Times New Roman" w:hAnsi="Arial" w:cs="Arial"/>
                <w:b/>
                <w:color w:val="000000"/>
                <w:sz w:val="20"/>
                <w:szCs w:val="20"/>
              </w:rPr>
              <w:t>Track length (km)</w:t>
            </w:r>
          </w:p>
        </w:tc>
        <w:tc>
          <w:tcPr>
            <w:tcW w:w="1826" w:type="dxa"/>
            <w:noWrap/>
            <w:hideMark/>
          </w:tcPr>
          <w:p w14:paraId="1FC10F56" w14:textId="77777777" w:rsidR="00E747C6" w:rsidRPr="00BB5B55" w:rsidRDefault="00E747C6" w:rsidP="00DF3386">
            <w:pPr>
              <w:jc w:val="center"/>
              <w:rPr>
                <w:rFonts w:ascii="Arial" w:eastAsia="Times New Roman" w:hAnsi="Arial" w:cs="Arial"/>
                <w:b/>
                <w:color w:val="000000"/>
                <w:sz w:val="20"/>
                <w:szCs w:val="20"/>
              </w:rPr>
            </w:pPr>
            <w:r w:rsidRPr="00BB5B55">
              <w:rPr>
                <w:rFonts w:ascii="Arial" w:eastAsia="Times New Roman" w:hAnsi="Arial" w:cs="Arial"/>
                <w:b/>
                <w:color w:val="000000"/>
                <w:sz w:val="20"/>
                <w:szCs w:val="20"/>
              </w:rPr>
              <w:t>Total property area (ha)</w:t>
            </w:r>
          </w:p>
        </w:tc>
        <w:tc>
          <w:tcPr>
            <w:tcW w:w="1826" w:type="dxa"/>
            <w:noWrap/>
            <w:hideMark/>
          </w:tcPr>
          <w:p w14:paraId="4C762BA9" w14:textId="01029F99" w:rsidR="00E747C6" w:rsidRPr="00BB5B55" w:rsidRDefault="00E747C6" w:rsidP="00DF3386">
            <w:pPr>
              <w:jc w:val="center"/>
              <w:rPr>
                <w:rFonts w:ascii="Arial" w:eastAsia="Times New Roman" w:hAnsi="Arial" w:cs="Arial"/>
                <w:b/>
                <w:color w:val="000000"/>
                <w:sz w:val="20"/>
                <w:szCs w:val="20"/>
              </w:rPr>
            </w:pPr>
            <w:r w:rsidRPr="00BB5B55">
              <w:rPr>
                <w:rFonts w:ascii="Arial" w:eastAsia="Times New Roman" w:hAnsi="Arial" w:cs="Arial"/>
                <w:b/>
                <w:color w:val="000000"/>
                <w:sz w:val="20"/>
                <w:szCs w:val="20"/>
              </w:rPr>
              <w:t xml:space="preserve">Estimated </w:t>
            </w:r>
            <w:r w:rsidR="001536CD" w:rsidRPr="00BB5B55">
              <w:rPr>
                <w:rFonts w:ascii="Arial" w:eastAsia="Times New Roman" w:hAnsi="Arial" w:cs="Arial"/>
                <w:b/>
                <w:color w:val="000000"/>
                <w:sz w:val="20"/>
                <w:szCs w:val="20"/>
              </w:rPr>
              <w:t>residential</w:t>
            </w:r>
            <w:r w:rsidRPr="00BB5B55">
              <w:rPr>
                <w:rFonts w:ascii="Arial" w:eastAsia="Times New Roman" w:hAnsi="Arial" w:cs="Arial"/>
                <w:b/>
                <w:color w:val="000000"/>
                <w:sz w:val="20"/>
                <w:szCs w:val="20"/>
              </w:rPr>
              <w:t xml:space="preserve"> land value</w:t>
            </w:r>
          </w:p>
        </w:tc>
        <w:tc>
          <w:tcPr>
            <w:tcW w:w="1826" w:type="dxa"/>
          </w:tcPr>
          <w:p w14:paraId="285FF7EB" w14:textId="38F9D662" w:rsidR="001536CD" w:rsidRPr="00BB5B55" w:rsidRDefault="001536CD" w:rsidP="00DF3386">
            <w:pPr>
              <w:jc w:val="center"/>
              <w:rPr>
                <w:rFonts w:ascii="Arial" w:eastAsia="Times New Roman" w:hAnsi="Arial" w:cs="Arial"/>
                <w:b/>
                <w:color w:val="000000"/>
                <w:sz w:val="20"/>
                <w:szCs w:val="20"/>
              </w:rPr>
            </w:pPr>
            <w:r w:rsidRPr="00BB5B55">
              <w:rPr>
                <w:rFonts w:ascii="Arial" w:eastAsia="Times New Roman" w:hAnsi="Arial" w:cs="Arial"/>
                <w:b/>
                <w:color w:val="000000"/>
                <w:sz w:val="20"/>
                <w:szCs w:val="20"/>
              </w:rPr>
              <w:t>Estimated commercial land value</w:t>
            </w:r>
          </w:p>
        </w:tc>
      </w:tr>
      <w:tr w:rsidR="00E56CBD" w:rsidRPr="00E747C6" w14:paraId="786E8B7A" w14:textId="38E4599B" w:rsidTr="00E56CBD">
        <w:trPr>
          <w:trHeight w:val="300"/>
        </w:trPr>
        <w:tc>
          <w:tcPr>
            <w:tcW w:w="1985" w:type="dxa"/>
            <w:noWrap/>
            <w:hideMark/>
          </w:tcPr>
          <w:p w14:paraId="7E9066CF" w14:textId="77777777" w:rsidR="00E747C6" w:rsidRPr="00BB5B55" w:rsidRDefault="00E747C6" w:rsidP="00DF3386">
            <w:pPr>
              <w:rPr>
                <w:rFonts w:ascii="Arial" w:eastAsia="Times New Roman" w:hAnsi="Arial" w:cs="Arial"/>
                <w:color w:val="000000"/>
                <w:sz w:val="20"/>
                <w:szCs w:val="20"/>
              </w:rPr>
            </w:pPr>
            <w:r w:rsidRPr="00BB5B55">
              <w:rPr>
                <w:rFonts w:ascii="Arial" w:eastAsia="Times New Roman" w:hAnsi="Arial" w:cs="Arial"/>
                <w:color w:val="000000"/>
                <w:sz w:val="20"/>
                <w:szCs w:val="20"/>
              </w:rPr>
              <w:t>Western Bays</w:t>
            </w:r>
          </w:p>
        </w:tc>
        <w:tc>
          <w:tcPr>
            <w:tcW w:w="1684" w:type="dxa"/>
            <w:noWrap/>
            <w:hideMark/>
          </w:tcPr>
          <w:p w14:paraId="04C51833" w14:textId="77777777" w:rsidR="00E747C6" w:rsidRPr="00BB5B55" w:rsidRDefault="00E747C6"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9</w:t>
            </w:r>
          </w:p>
        </w:tc>
        <w:tc>
          <w:tcPr>
            <w:tcW w:w="1826" w:type="dxa"/>
            <w:noWrap/>
            <w:hideMark/>
          </w:tcPr>
          <w:p w14:paraId="183E1FE4" w14:textId="67F62311" w:rsidR="00E747C6" w:rsidRPr="00BB5B55" w:rsidRDefault="00F45308" w:rsidP="00DF3386">
            <w:pPr>
              <w:jc w:val="center"/>
              <w:rPr>
                <w:rFonts w:ascii="Arial" w:eastAsia="Times New Roman" w:hAnsi="Arial" w:cs="Arial"/>
                <w:color w:val="000000"/>
                <w:sz w:val="20"/>
                <w:szCs w:val="20"/>
              </w:rPr>
            </w:pPr>
            <w:r>
              <w:rPr>
                <w:rFonts w:ascii="Arial" w:eastAsia="Times New Roman" w:hAnsi="Arial" w:cs="Arial"/>
                <w:color w:val="000000"/>
                <w:sz w:val="20"/>
                <w:szCs w:val="20"/>
              </w:rPr>
              <w:t>821</w:t>
            </w:r>
          </w:p>
        </w:tc>
        <w:tc>
          <w:tcPr>
            <w:tcW w:w="1826" w:type="dxa"/>
            <w:noWrap/>
            <w:vAlign w:val="bottom"/>
            <w:hideMark/>
          </w:tcPr>
          <w:p w14:paraId="225A2C9F" w14:textId="5CB1512D" w:rsidR="00E747C6" w:rsidRPr="00BB5B55" w:rsidRDefault="001536CD"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$8.3bn</w:t>
            </w:r>
          </w:p>
        </w:tc>
        <w:tc>
          <w:tcPr>
            <w:tcW w:w="1826" w:type="dxa"/>
            <w:vAlign w:val="bottom"/>
          </w:tcPr>
          <w:p w14:paraId="73CDA4E6" w14:textId="07C99178" w:rsidR="001536CD" w:rsidRPr="00BB5B55" w:rsidRDefault="001536CD"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$6.6bn</w:t>
            </w:r>
          </w:p>
        </w:tc>
      </w:tr>
      <w:tr w:rsidR="00E56CBD" w:rsidRPr="00E747C6" w14:paraId="5078C000" w14:textId="01A73BD1" w:rsidTr="00E56CBD">
        <w:trPr>
          <w:trHeight w:val="300"/>
        </w:trPr>
        <w:tc>
          <w:tcPr>
            <w:tcW w:w="1985" w:type="dxa"/>
            <w:noWrap/>
            <w:hideMark/>
          </w:tcPr>
          <w:p w14:paraId="43E9BE9B" w14:textId="77777777" w:rsidR="00E747C6" w:rsidRPr="00BB5B55" w:rsidRDefault="00E747C6" w:rsidP="00DF3386">
            <w:pPr>
              <w:rPr>
                <w:rFonts w:ascii="Arial" w:eastAsia="Times New Roman" w:hAnsi="Arial" w:cs="Arial"/>
                <w:color w:val="000000"/>
                <w:sz w:val="20"/>
                <w:szCs w:val="20"/>
              </w:rPr>
            </w:pPr>
            <w:r w:rsidRPr="00BB5B55">
              <w:rPr>
                <w:rFonts w:ascii="Arial" w:eastAsia="Times New Roman" w:hAnsi="Arial" w:cs="Arial"/>
                <w:color w:val="000000"/>
                <w:sz w:val="20"/>
                <w:szCs w:val="20"/>
              </w:rPr>
              <w:t>Tamaki Drive</w:t>
            </w:r>
          </w:p>
        </w:tc>
        <w:tc>
          <w:tcPr>
            <w:tcW w:w="1684" w:type="dxa"/>
            <w:noWrap/>
            <w:hideMark/>
          </w:tcPr>
          <w:p w14:paraId="794220BD" w14:textId="77777777" w:rsidR="00E747C6" w:rsidRPr="00BB5B55" w:rsidRDefault="00E747C6"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9.6</w:t>
            </w:r>
          </w:p>
        </w:tc>
        <w:tc>
          <w:tcPr>
            <w:tcW w:w="1826" w:type="dxa"/>
            <w:noWrap/>
            <w:hideMark/>
          </w:tcPr>
          <w:p w14:paraId="78EEEA18" w14:textId="1328A0A0" w:rsidR="00E747C6" w:rsidRPr="00BB5B55" w:rsidRDefault="00F45308" w:rsidP="00F45308">
            <w:pPr>
              <w:jc w:val="center"/>
              <w:rPr>
                <w:rFonts w:ascii="Arial" w:eastAsia="Times New Roman" w:hAnsi="Arial" w:cs="Arial"/>
                <w:color w:val="000000"/>
                <w:sz w:val="20"/>
                <w:szCs w:val="20"/>
              </w:rPr>
            </w:pPr>
            <w:r>
              <w:rPr>
                <w:rFonts w:ascii="Arial" w:eastAsia="Times New Roman" w:hAnsi="Arial" w:cs="Arial"/>
                <w:color w:val="000000"/>
                <w:sz w:val="20"/>
                <w:szCs w:val="20"/>
              </w:rPr>
              <w:t>518</w:t>
            </w:r>
          </w:p>
        </w:tc>
        <w:tc>
          <w:tcPr>
            <w:tcW w:w="1826" w:type="dxa"/>
            <w:noWrap/>
            <w:vAlign w:val="bottom"/>
            <w:hideMark/>
          </w:tcPr>
          <w:p w14:paraId="0097893E" w14:textId="198405B7" w:rsidR="00E747C6" w:rsidRPr="00BB5B55" w:rsidRDefault="001536CD"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$3.0bn</w:t>
            </w:r>
          </w:p>
        </w:tc>
        <w:tc>
          <w:tcPr>
            <w:tcW w:w="1826" w:type="dxa"/>
            <w:vAlign w:val="bottom"/>
          </w:tcPr>
          <w:p w14:paraId="1FB05944" w14:textId="285520F4" w:rsidR="001536CD" w:rsidRPr="00BB5B55" w:rsidRDefault="001536CD"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$3.6bn</w:t>
            </w:r>
          </w:p>
        </w:tc>
      </w:tr>
      <w:tr w:rsidR="00E56CBD" w:rsidRPr="00E747C6" w14:paraId="3F00D6B7" w14:textId="7C3AFC3A" w:rsidTr="00E56CBD">
        <w:trPr>
          <w:trHeight w:val="300"/>
        </w:trPr>
        <w:tc>
          <w:tcPr>
            <w:tcW w:w="1985" w:type="dxa"/>
            <w:noWrap/>
            <w:hideMark/>
          </w:tcPr>
          <w:p w14:paraId="436AADD9" w14:textId="77777777" w:rsidR="00E747C6" w:rsidRPr="00BB5B55" w:rsidRDefault="00E747C6" w:rsidP="00DF3386">
            <w:pPr>
              <w:rPr>
                <w:rFonts w:ascii="Arial" w:eastAsia="Times New Roman" w:hAnsi="Arial" w:cs="Arial"/>
                <w:color w:val="000000"/>
                <w:sz w:val="20"/>
                <w:szCs w:val="20"/>
              </w:rPr>
            </w:pPr>
            <w:r w:rsidRPr="00BB5B55">
              <w:rPr>
                <w:rFonts w:ascii="Arial" w:eastAsia="Times New Roman" w:hAnsi="Arial" w:cs="Arial"/>
                <w:color w:val="000000"/>
                <w:sz w:val="20"/>
                <w:szCs w:val="20"/>
              </w:rPr>
              <w:t xml:space="preserve">Botany to </w:t>
            </w:r>
            <w:proofErr w:type="spellStart"/>
            <w:r w:rsidRPr="00BB5B55">
              <w:rPr>
                <w:rFonts w:ascii="Arial" w:eastAsia="Times New Roman" w:hAnsi="Arial" w:cs="Arial"/>
                <w:color w:val="000000"/>
                <w:sz w:val="20"/>
                <w:szCs w:val="20"/>
              </w:rPr>
              <w:t>Manukau</w:t>
            </w:r>
            <w:proofErr w:type="spellEnd"/>
          </w:p>
        </w:tc>
        <w:tc>
          <w:tcPr>
            <w:tcW w:w="1684" w:type="dxa"/>
            <w:noWrap/>
            <w:hideMark/>
          </w:tcPr>
          <w:p w14:paraId="6E9C27B5" w14:textId="77777777" w:rsidR="00E747C6" w:rsidRPr="00BB5B55" w:rsidRDefault="00E747C6"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8.8</w:t>
            </w:r>
          </w:p>
        </w:tc>
        <w:tc>
          <w:tcPr>
            <w:tcW w:w="1826" w:type="dxa"/>
            <w:noWrap/>
            <w:hideMark/>
          </w:tcPr>
          <w:p w14:paraId="77AC4EB3" w14:textId="52B73848" w:rsidR="00E747C6" w:rsidRPr="00BB5B55" w:rsidRDefault="00F45308" w:rsidP="00DF3386">
            <w:pPr>
              <w:jc w:val="center"/>
              <w:rPr>
                <w:rFonts w:ascii="Arial" w:eastAsia="Times New Roman" w:hAnsi="Arial" w:cs="Arial"/>
                <w:color w:val="000000"/>
                <w:sz w:val="20"/>
                <w:szCs w:val="20"/>
              </w:rPr>
            </w:pPr>
            <w:r>
              <w:rPr>
                <w:rFonts w:ascii="Arial" w:eastAsia="Times New Roman" w:hAnsi="Arial" w:cs="Arial"/>
                <w:color w:val="000000"/>
                <w:sz w:val="20"/>
                <w:szCs w:val="20"/>
              </w:rPr>
              <w:t>893</w:t>
            </w:r>
          </w:p>
        </w:tc>
        <w:tc>
          <w:tcPr>
            <w:tcW w:w="1826" w:type="dxa"/>
            <w:noWrap/>
            <w:vAlign w:val="bottom"/>
            <w:hideMark/>
          </w:tcPr>
          <w:p w14:paraId="28542449" w14:textId="78DBFEAA" w:rsidR="00E747C6" w:rsidRPr="00BB5B55" w:rsidRDefault="001536CD"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$1.7bn</w:t>
            </w:r>
          </w:p>
        </w:tc>
        <w:tc>
          <w:tcPr>
            <w:tcW w:w="1826" w:type="dxa"/>
            <w:vAlign w:val="bottom"/>
          </w:tcPr>
          <w:p w14:paraId="547573B7" w14:textId="26F1E916" w:rsidR="001536CD" w:rsidRPr="00BB5B55" w:rsidRDefault="001536CD" w:rsidP="00DF3386">
            <w:pPr>
              <w:jc w:val="center"/>
              <w:rPr>
                <w:rFonts w:ascii="Arial" w:eastAsia="Times New Roman" w:hAnsi="Arial" w:cs="Arial"/>
                <w:color w:val="000000"/>
                <w:sz w:val="20"/>
                <w:szCs w:val="20"/>
              </w:rPr>
            </w:pPr>
            <w:r w:rsidRPr="00BB5B55">
              <w:rPr>
                <w:rFonts w:ascii="Arial" w:eastAsia="Times New Roman" w:hAnsi="Arial" w:cs="Arial"/>
                <w:color w:val="000000"/>
                <w:sz w:val="20"/>
                <w:szCs w:val="20"/>
              </w:rPr>
              <w:t>$1.2bn</w:t>
            </w:r>
          </w:p>
        </w:tc>
      </w:tr>
    </w:tbl>
    <w:p w14:paraId="04557EB8" w14:textId="3F4F04E9" w:rsidR="00E747C6" w:rsidRPr="00E56CBD" w:rsidRDefault="007853FF" w:rsidP="00E56CBD">
      <w:pPr>
        <w:pStyle w:val="SectionHeadingLevel2"/>
        <w:ind w:left="0" w:firstLine="0"/>
      </w:pPr>
      <w:r>
        <w:t>5.4</w:t>
      </w:r>
      <w:r w:rsidR="00E56CBD">
        <w:t xml:space="preserve"> Step</w:t>
      </w:r>
      <w:r>
        <w:t>s</w:t>
      </w:r>
      <w:r w:rsidR="00E56CBD">
        <w:t xml:space="preserve"> 3</w:t>
      </w:r>
      <w:r>
        <w:t xml:space="preserve"> and 4</w:t>
      </w:r>
      <w:r w:rsidR="00E56CBD">
        <w:t xml:space="preserve">: </w:t>
      </w:r>
      <w:r>
        <w:t xml:space="preserve">Identifying and applying </w:t>
      </w:r>
      <w:r w:rsidR="00E56CBD">
        <w:t>property value</w:t>
      </w:r>
      <w:r>
        <w:t xml:space="preserve"> uplift factors</w:t>
      </w:r>
    </w:p>
    <w:p w14:paraId="6786FBA7" w14:textId="0CAA2178" w:rsidR="00E747C6" w:rsidRPr="00E747C6" w:rsidRDefault="00E747C6" w:rsidP="007853FF">
      <w:pPr>
        <w:jc w:val="both"/>
        <w:rPr>
          <w:rFonts w:ascii="Arial" w:hAnsi="Arial" w:cs="Arial"/>
          <w:sz w:val="22"/>
          <w:szCs w:val="22"/>
        </w:rPr>
      </w:pPr>
      <w:r w:rsidRPr="00E747C6">
        <w:rPr>
          <w:rFonts w:ascii="Arial" w:hAnsi="Arial" w:cs="Arial"/>
          <w:sz w:val="22"/>
          <w:szCs w:val="22"/>
        </w:rPr>
        <w:t xml:space="preserve">Based on </w:t>
      </w:r>
      <w:r w:rsidR="00E0208F">
        <w:rPr>
          <w:rFonts w:ascii="Arial" w:hAnsi="Arial" w:cs="Arial"/>
          <w:sz w:val="22"/>
          <w:szCs w:val="22"/>
        </w:rPr>
        <w:t xml:space="preserve">our reference class </w:t>
      </w:r>
      <w:r w:rsidR="00BA544B">
        <w:rPr>
          <w:rFonts w:ascii="Arial" w:hAnsi="Arial" w:cs="Arial"/>
          <w:sz w:val="22"/>
          <w:szCs w:val="22"/>
        </w:rPr>
        <w:t>forecasting method outlined in s</w:t>
      </w:r>
      <w:r w:rsidR="00E0208F">
        <w:rPr>
          <w:rFonts w:ascii="Arial" w:hAnsi="Arial" w:cs="Arial"/>
          <w:sz w:val="22"/>
          <w:szCs w:val="22"/>
        </w:rPr>
        <w:t>ections 4.2 and 4.3, we identify an appropriate range of property value uplift factors</w:t>
      </w:r>
      <w:r w:rsidR="00625B77">
        <w:rPr>
          <w:rFonts w:ascii="Arial" w:hAnsi="Arial" w:cs="Arial"/>
          <w:sz w:val="22"/>
          <w:szCs w:val="22"/>
        </w:rPr>
        <w:t xml:space="preserve"> by establishing a short list of values from comparable projects.</w:t>
      </w:r>
      <w:r w:rsidR="005873B0">
        <w:rPr>
          <w:rFonts w:ascii="Arial" w:hAnsi="Arial" w:cs="Arial"/>
          <w:sz w:val="22"/>
          <w:szCs w:val="22"/>
        </w:rPr>
        <w:t xml:space="preserve"> </w:t>
      </w:r>
      <w:r w:rsidR="00625B77">
        <w:rPr>
          <w:rFonts w:ascii="Arial" w:hAnsi="Arial" w:cs="Arial"/>
          <w:sz w:val="22"/>
          <w:szCs w:val="22"/>
        </w:rPr>
        <w:t xml:space="preserve">We filter our reference class ‘long list’ to isolate property impact values for light rail infrastructure, commercial and residential property types and values from comparable cities (filtering for North American and Australian projects). This results in </w:t>
      </w:r>
      <w:r w:rsidR="005F32DA">
        <w:rPr>
          <w:rFonts w:ascii="Arial" w:hAnsi="Arial" w:cs="Arial"/>
          <w:sz w:val="22"/>
          <w:szCs w:val="22"/>
        </w:rPr>
        <w:t>14</w:t>
      </w:r>
      <w:r w:rsidR="00625B77">
        <w:rPr>
          <w:rFonts w:ascii="Arial" w:hAnsi="Arial" w:cs="Arial"/>
          <w:sz w:val="22"/>
          <w:szCs w:val="22"/>
        </w:rPr>
        <w:t xml:space="preserve"> values for residential property uplift factors and </w:t>
      </w:r>
      <w:r w:rsidR="005F32DA">
        <w:rPr>
          <w:rFonts w:ascii="Arial" w:hAnsi="Arial" w:cs="Arial"/>
          <w:sz w:val="22"/>
          <w:szCs w:val="22"/>
        </w:rPr>
        <w:t>6</w:t>
      </w:r>
      <w:r w:rsidR="00625B77">
        <w:rPr>
          <w:rFonts w:ascii="Arial" w:hAnsi="Arial" w:cs="Arial"/>
          <w:sz w:val="22"/>
          <w:szCs w:val="22"/>
        </w:rPr>
        <w:t xml:space="preserve"> values for commercial property.  The values represent findings from </w:t>
      </w:r>
      <w:r w:rsidR="005F32DA">
        <w:rPr>
          <w:rFonts w:ascii="Arial" w:hAnsi="Arial" w:cs="Arial"/>
          <w:sz w:val="22"/>
          <w:szCs w:val="22"/>
        </w:rPr>
        <w:t>9</w:t>
      </w:r>
      <w:r w:rsidR="00625B77">
        <w:rPr>
          <w:rFonts w:ascii="Arial" w:hAnsi="Arial" w:cs="Arial"/>
          <w:sz w:val="22"/>
          <w:szCs w:val="22"/>
        </w:rPr>
        <w:t xml:space="preserve"> projects in </w:t>
      </w:r>
      <w:r w:rsidR="002611A3">
        <w:rPr>
          <w:rFonts w:ascii="Arial" w:hAnsi="Arial" w:cs="Arial"/>
          <w:sz w:val="22"/>
          <w:szCs w:val="22"/>
        </w:rPr>
        <w:t>8</w:t>
      </w:r>
      <w:r w:rsidR="00111C81">
        <w:rPr>
          <w:rFonts w:ascii="Arial" w:hAnsi="Arial" w:cs="Arial"/>
          <w:sz w:val="22"/>
          <w:szCs w:val="22"/>
        </w:rPr>
        <w:t xml:space="preserve"> North American</w:t>
      </w:r>
      <w:r w:rsidR="00625B77">
        <w:rPr>
          <w:rFonts w:ascii="Arial" w:hAnsi="Arial" w:cs="Arial"/>
          <w:sz w:val="22"/>
          <w:szCs w:val="22"/>
        </w:rPr>
        <w:t xml:space="preserve"> cities (</w:t>
      </w:r>
      <w:proofErr w:type="spellStart"/>
      <w:r w:rsidR="00BF4AC4">
        <w:rPr>
          <w:rFonts w:ascii="Arial" w:hAnsi="Arial" w:cs="Arial"/>
          <w:sz w:val="22"/>
          <w:szCs w:val="22"/>
        </w:rPr>
        <w:t>Golub</w:t>
      </w:r>
      <w:proofErr w:type="spellEnd"/>
      <w:r w:rsidR="00BF4AC4">
        <w:rPr>
          <w:rFonts w:ascii="Arial" w:hAnsi="Arial" w:cs="Arial"/>
          <w:sz w:val="22"/>
          <w:szCs w:val="22"/>
        </w:rPr>
        <w:t xml:space="preserve"> et al 2012,</w:t>
      </w:r>
      <w:r w:rsidR="002611A3">
        <w:rPr>
          <w:rFonts w:ascii="Arial" w:hAnsi="Arial" w:cs="Arial"/>
          <w:sz w:val="22"/>
          <w:szCs w:val="22"/>
        </w:rPr>
        <w:t xml:space="preserve"> Duncan 2010, Goetz et al 2010</w:t>
      </w:r>
      <w:r w:rsidR="00BF4AC4">
        <w:rPr>
          <w:rFonts w:ascii="Arial" w:hAnsi="Arial" w:cs="Arial"/>
          <w:sz w:val="22"/>
          <w:szCs w:val="22"/>
        </w:rPr>
        <w:t xml:space="preserve">, </w:t>
      </w:r>
      <w:proofErr w:type="spellStart"/>
      <w:r w:rsidR="00BF4AC4">
        <w:rPr>
          <w:rFonts w:ascii="Arial" w:hAnsi="Arial" w:cs="Arial"/>
          <w:sz w:val="22"/>
          <w:szCs w:val="22"/>
        </w:rPr>
        <w:t>Re</w:t>
      </w:r>
      <w:r w:rsidR="00F45308">
        <w:rPr>
          <w:rFonts w:ascii="Arial" w:hAnsi="Arial" w:cs="Arial"/>
          <w:sz w:val="22"/>
          <w:szCs w:val="22"/>
        </w:rPr>
        <w:t>wers</w:t>
      </w:r>
      <w:proofErr w:type="spellEnd"/>
      <w:r w:rsidR="00F45308">
        <w:rPr>
          <w:rFonts w:ascii="Arial" w:hAnsi="Arial" w:cs="Arial"/>
          <w:sz w:val="22"/>
          <w:szCs w:val="22"/>
        </w:rPr>
        <w:t xml:space="preserve"> 2009, </w:t>
      </w:r>
      <w:proofErr w:type="spellStart"/>
      <w:r w:rsidR="00F45308">
        <w:rPr>
          <w:rFonts w:ascii="Arial" w:hAnsi="Arial" w:cs="Arial"/>
          <w:sz w:val="22"/>
          <w:szCs w:val="22"/>
        </w:rPr>
        <w:t>Cevero</w:t>
      </w:r>
      <w:proofErr w:type="spellEnd"/>
      <w:r w:rsidR="00F45308">
        <w:rPr>
          <w:rFonts w:ascii="Arial" w:hAnsi="Arial" w:cs="Arial"/>
          <w:sz w:val="22"/>
          <w:szCs w:val="22"/>
        </w:rPr>
        <w:t xml:space="preserve"> &amp; Duncan 2002</w:t>
      </w:r>
      <w:r w:rsidR="002611A3">
        <w:rPr>
          <w:rFonts w:ascii="Arial" w:hAnsi="Arial" w:cs="Arial"/>
          <w:sz w:val="22"/>
          <w:szCs w:val="22"/>
        </w:rPr>
        <w:t xml:space="preserve">a, </w:t>
      </w:r>
      <w:proofErr w:type="spellStart"/>
      <w:r w:rsidR="002611A3">
        <w:rPr>
          <w:rFonts w:ascii="Arial" w:hAnsi="Arial" w:cs="Arial"/>
          <w:sz w:val="22"/>
          <w:szCs w:val="22"/>
        </w:rPr>
        <w:t>Cervero</w:t>
      </w:r>
      <w:proofErr w:type="spellEnd"/>
      <w:r w:rsidR="002611A3">
        <w:rPr>
          <w:rFonts w:ascii="Arial" w:hAnsi="Arial" w:cs="Arial"/>
          <w:sz w:val="22"/>
          <w:szCs w:val="22"/>
        </w:rPr>
        <w:t xml:space="preserve"> &amp; Duncan 2002b, </w:t>
      </w:r>
      <w:proofErr w:type="spellStart"/>
      <w:r w:rsidR="002611A3">
        <w:rPr>
          <w:rFonts w:ascii="Arial" w:hAnsi="Arial" w:cs="Arial"/>
          <w:sz w:val="22"/>
          <w:szCs w:val="22"/>
        </w:rPr>
        <w:t>Cervero</w:t>
      </w:r>
      <w:proofErr w:type="spellEnd"/>
      <w:r w:rsidR="002611A3">
        <w:rPr>
          <w:rFonts w:ascii="Arial" w:hAnsi="Arial" w:cs="Arial"/>
          <w:sz w:val="22"/>
          <w:szCs w:val="22"/>
        </w:rPr>
        <w:t xml:space="preserve"> &amp; Duncan 2002c, </w:t>
      </w:r>
      <w:proofErr w:type="spellStart"/>
      <w:r w:rsidR="002611A3">
        <w:rPr>
          <w:rFonts w:ascii="Arial" w:hAnsi="Arial" w:cs="Arial"/>
          <w:sz w:val="22"/>
          <w:szCs w:val="22"/>
        </w:rPr>
        <w:t>Clower</w:t>
      </w:r>
      <w:proofErr w:type="spellEnd"/>
      <w:r w:rsidR="002611A3">
        <w:rPr>
          <w:rFonts w:ascii="Arial" w:hAnsi="Arial" w:cs="Arial"/>
          <w:sz w:val="22"/>
          <w:szCs w:val="22"/>
        </w:rPr>
        <w:t xml:space="preserve"> &amp; Weinstein 2002</w:t>
      </w:r>
      <w:r w:rsidR="00BF4AC4">
        <w:rPr>
          <w:rFonts w:ascii="Arial" w:hAnsi="Arial" w:cs="Arial"/>
          <w:sz w:val="22"/>
          <w:szCs w:val="22"/>
        </w:rPr>
        <w:t xml:space="preserve">, Chen et al 1997). </w:t>
      </w:r>
      <w:r w:rsidR="00625B77">
        <w:rPr>
          <w:rFonts w:ascii="Arial" w:hAnsi="Arial" w:cs="Arial"/>
          <w:sz w:val="22"/>
          <w:szCs w:val="22"/>
        </w:rPr>
        <w:t>We obtain an average</w:t>
      </w:r>
      <w:r w:rsidR="00111C81">
        <w:rPr>
          <w:rFonts w:ascii="Arial" w:hAnsi="Arial" w:cs="Arial"/>
          <w:sz w:val="22"/>
          <w:szCs w:val="22"/>
        </w:rPr>
        <w:t xml:space="preserve"> uplift factor for residential </w:t>
      </w:r>
      <w:r w:rsidR="00625B77">
        <w:rPr>
          <w:rFonts w:ascii="Arial" w:hAnsi="Arial" w:cs="Arial"/>
          <w:sz w:val="22"/>
          <w:szCs w:val="22"/>
        </w:rPr>
        <w:t xml:space="preserve">and commercial property of </w:t>
      </w:r>
      <w:r w:rsidR="00111C81">
        <w:rPr>
          <w:rFonts w:ascii="Arial" w:hAnsi="Arial" w:cs="Arial"/>
          <w:sz w:val="22"/>
          <w:szCs w:val="22"/>
        </w:rPr>
        <w:t>7% and 24</w:t>
      </w:r>
      <w:r w:rsidR="00625B77">
        <w:rPr>
          <w:rFonts w:ascii="Arial" w:hAnsi="Arial" w:cs="Arial"/>
          <w:sz w:val="22"/>
          <w:szCs w:val="22"/>
        </w:rPr>
        <w:t xml:space="preserve">% respectively. We establish a range of values based on </w:t>
      </w:r>
      <w:r w:rsidR="00A962D3">
        <w:rPr>
          <w:rFonts w:ascii="Arial" w:hAnsi="Arial" w:cs="Arial"/>
          <w:sz w:val="22"/>
          <w:szCs w:val="22"/>
        </w:rPr>
        <w:t xml:space="preserve">median, </w:t>
      </w:r>
      <w:r w:rsidR="00625B77">
        <w:rPr>
          <w:rFonts w:ascii="Arial" w:hAnsi="Arial" w:cs="Arial"/>
          <w:sz w:val="22"/>
          <w:szCs w:val="22"/>
        </w:rPr>
        <w:t>25</w:t>
      </w:r>
      <w:r w:rsidR="00625B77" w:rsidRPr="00625B77">
        <w:rPr>
          <w:rFonts w:ascii="Arial" w:hAnsi="Arial" w:cs="Arial"/>
          <w:sz w:val="22"/>
          <w:szCs w:val="22"/>
          <w:vertAlign w:val="superscript"/>
        </w:rPr>
        <w:t>th</w:t>
      </w:r>
      <w:r w:rsidR="00625B77">
        <w:rPr>
          <w:rFonts w:ascii="Arial" w:hAnsi="Arial" w:cs="Arial"/>
          <w:sz w:val="22"/>
          <w:szCs w:val="22"/>
        </w:rPr>
        <w:t xml:space="preserve"> and 75</w:t>
      </w:r>
      <w:r w:rsidR="00625B77" w:rsidRPr="00625B77">
        <w:rPr>
          <w:rFonts w:ascii="Arial" w:hAnsi="Arial" w:cs="Arial"/>
          <w:sz w:val="22"/>
          <w:szCs w:val="22"/>
          <w:vertAlign w:val="superscript"/>
        </w:rPr>
        <w:t>th</w:t>
      </w:r>
      <w:r w:rsidR="00625B77">
        <w:rPr>
          <w:rFonts w:ascii="Arial" w:hAnsi="Arial" w:cs="Arial"/>
          <w:sz w:val="22"/>
          <w:szCs w:val="22"/>
        </w:rPr>
        <w:t xml:space="preserve"> percentile values. Our low, medium and high impact scenarios </w:t>
      </w:r>
      <w:r w:rsidR="00141ECA">
        <w:rPr>
          <w:rFonts w:ascii="Arial" w:hAnsi="Arial" w:cs="Arial"/>
          <w:sz w:val="22"/>
          <w:szCs w:val="22"/>
        </w:rPr>
        <w:t xml:space="preserve">use property uplift factors of </w:t>
      </w:r>
      <w:r w:rsidR="00111C81">
        <w:rPr>
          <w:rFonts w:ascii="Arial" w:hAnsi="Arial" w:cs="Arial"/>
          <w:sz w:val="22"/>
          <w:szCs w:val="22"/>
        </w:rPr>
        <w:t xml:space="preserve">2%/ </w:t>
      </w:r>
      <w:r w:rsidR="00A962D3">
        <w:rPr>
          <w:rFonts w:ascii="Arial" w:hAnsi="Arial" w:cs="Arial"/>
          <w:sz w:val="22"/>
          <w:szCs w:val="22"/>
        </w:rPr>
        <w:t>6</w:t>
      </w:r>
      <w:r w:rsidR="00111C81">
        <w:rPr>
          <w:rFonts w:ascii="Arial" w:hAnsi="Arial" w:cs="Arial"/>
          <w:sz w:val="22"/>
          <w:szCs w:val="22"/>
        </w:rPr>
        <w:t>%/ 11%</w:t>
      </w:r>
      <w:r w:rsidR="00141ECA">
        <w:rPr>
          <w:rFonts w:ascii="Arial" w:hAnsi="Arial" w:cs="Arial"/>
          <w:sz w:val="22"/>
          <w:szCs w:val="22"/>
        </w:rPr>
        <w:t xml:space="preserve"> and </w:t>
      </w:r>
      <w:r w:rsidR="00111C81">
        <w:rPr>
          <w:rFonts w:ascii="Arial" w:hAnsi="Arial" w:cs="Arial"/>
          <w:sz w:val="22"/>
          <w:szCs w:val="22"/>
        </w:rPr>
        <w:t xml:space="preserve">5%/ </w:t>
      </w:r>
      <w:r w:rsidR="00A962D3">
        <w:rPr>
          <w:rFonts w:ascii="Arial" w:hAnsi="Arial" w:cs="Arial"/>
          <w:sz w:val="22"/>
          <w:szCs w:val="22"/>
        </w:rPr>
        <w:t>18</w:t>
      </w:r>
      <w:r w:rsidR="00111C81">
        <w:rPr>
          <w:rFonts w:ascii="Arial" w:hAnsi="Arial" w:cs="Arial"/>
          <w:sz w:val="22"/>
          <w:szCs w:val="22"/>
        </w:rPr>
        <w:t>%/ 29%</w:t>
      </w:r>
      <w:r w:rsidR="00141ECA" w:rsidRPr="00141ECA">
        <w:rPr>
          <w:rFonts w:ascii="Arial" w:hAnsi="Arial" w:cs="Arial"/>
          <w:sz w:val="22"/>
          <w:szCs w:val="22"/>
        </w:rPr>
        <w:t xml:space="preserve"> </w:t>
      </w:r>
      <w:r w:rsidR="00141ECA">
        <w:rPr>
          <w:rFonts w:ascii="Arial" w:hAnsi="Arial" w:cs="Arial"/>
          <w:sz w:val="22"/>
          <w:szCs w:val="22"/>
        </w:rPr>
        <w:t>for residential and commercial property respectively.</w:t>
      </w:r>
      <w:r w:rsidR="00111C81">
        <w:rPr>
          <w:rFonts w:ascii="Arial" w:hAnsi="Arial" w:cs="Arial"/>
          <w:sz w:val="22"/>
          <w:szCs w:val="22"/>
        </w:rPr>
        <w:t xml:space="preserve"> </w:t>
      </w:r>
      <w:r w:rsidR="00141ECA">
        <w:rPr>
          <w:rFonts w:ascii="Arial" w:hAnsi="Arial" w:cs="Arial"/>
          <w:sz w:val="22"/>
          <w:szCs w:val="22"/>
        </w:rPr>
        <w:t xml:space="preserve">We apply these uplift factors </w:t>
      </w:r>
      <w:r w:rsidR="00625B77">
        <w:rPr>
          <w:rFonts w:ascii="Arial" w:hAnsi="Arial" w:cs="Arial"/>
          <w:sz w:val="22"/>
          <w:szCs w:val="22"/>
        </w:rPr>
        <w:t>to baseline property values in the LRT catchments</w:t>
      </w:r>
      <w:r w:rsidR="00141ECA">
        <w:rPr>
          <w:rFonts w:ascii="Arial" w:hAnsi="Arial" w:cs="Arial"/>
          <w:sz w:val="22"/>
          <w:szCs w:val="22"/>
        </w:rPr>
        <w:t xml:space="preserve"> to</w:t>
      </w:r>
      <w:r w:rsidRPr="00E747C6">
        <w:rPr>
          <w:rFonts w:ascii="Arial" w:hAnsi="Arial" w:cs="Arial"/>
          <w:sz w:val="22"/>
          <w:szCs w:val="22"/>
        </w:rPr>
        <w:t xml:space="preserve"> obtain a</w:t>
      </w:r>
      <w:r w:rsidR="003D61C4">
        <w:rPr>
          <w:rFonts w:ascii="Arial" w:hAnsi="Arial" w:cs="Arial"/>
          <w:sz w:val="22"/>
          <w:szCs w:val="22"/>
        </w:rPr>
        <w:t>n indicative</w:t>
      </w:r>
      <w:r w:rsidRPr="00E747C6">
        <w:rPr>
          <w:rFonts w:ascii="Arial" w:hAnsi="Arial" w:cs="Arial"/>
          <w:sz w:val="22"/>
          <w:szCs w:val="22"/>
        </w:rPr>
        <w:t xml:space="preserve"> range of potential benefits from the project</w:t>
      </w:r>
      <w:r w:rsidR="00111C81">
        <w:rPr>
          <w:rFonts w:ascii="Arial" w:hAnsi="Arial" w:cs="Arial"/>
          <w:sz w:val="22"/>
          <w:szCs w:val="22"/>
        </w:rPr>
        <w:t xml:space="preserve"> (</w:t>
      </w:r>
      <w:r w:rsidR="00300826">
        <w:rPr>
          <w:rFonts w:ascii="Arial" w:hAnsi="Arial" w:cs="Arial"/>
          <w:sz w:val="22"/>
          <w:szCs w:val="22"/>
        </w:rPr>
        <w:t xml:space="preserve">Table </w:t>
      </w:r>
      <w:r w:rsidR="00380D17">
        <w:rPr>
          <w:rFonts w:ascii="Arial" w:hAnsi="Arial" w:cs="Arial"/>
          <w:sz w:val="22"/>
          <w:szCs w:val="22"/>
        </w:rPr>
        <w:t>5</w:t>
      </w:r>
      <w:r w:rsidR="00111C81">
        <w:rPr>
          <w:rFonts w:ascii="Arial" w:hAnsi="Arial" w:cs="Arial"/>
          <w:sz w:val="22"/>
          <w:szCs w:val="22"/>
        </w:rPr>
        <w:t xml:space="preserve">). </w:t>
      </w:r>
    </w:p>
    <w:p w14:paraId="40712B4E" w14:textId="77777777" w:rsidR="00E747C6" w:rsidRPr="00E747C6" w:rsidRDefault="00E747C6" w:rsidP="00E747C6">
      <w:pPr>
        <w:rPr>
          <w:rFonts w:ascii="Arial" w:hAnsi="Arial" w:cs="Arial"/>
          <w:sz w:val="22"/>
          <w:szCs w:val="22"/>
        </w:rPr>
      </w:pPr>
    </w:p>
    <w:p w14:paraId="50972FEB" w14:textId="75D2BE0D" w:rsidR="00E747C6" w:rsidRPr="00E56CBD" w:rsidRDefault="00E747C6" w:rsidP="00E747C6">
      <w:pPr>
        <w:pStyle w:val="Caption"/>
        <w:rPr>
          <w:rFonts w:ascii="Arial" w:hAnsi="Arial" w:cs="Arial"/>
          <w:color w:val="auto"/>
        </w:rPr>
      </w:pPr>
      <w:bookmarkStart w:id="3" w:name="_Ref285375853"/>
      <w:r w:rsidRPr="00E56CBD">
        <w:rPr>
          <w:rFonts w:ascii="Arial" w:hAnsi="Arial" w:cs="Arial"/>
          <w:color w:val="auto"/>
        </w:rPr>
        <w:t>Table</w:t>
      </w:r>
      <w:bookmarkEnd w:id="3"/>
      <w:r w:rsidR="00300826">
        <w:rPr>
          <w:rFonts w:ascii="Arial" w:hAnsi="Arial" w:cs="Arial"/>
          <w:color w:val="auto"/>
        </w:rPr>
        <w:t xml:space="preserve"> </w:t>
      </w:r>
      <w:r w:rsidR="00380D17">
        <w:rPr>
          <w:rFonts w:ascii="Arial" w:hAnsi="Arial" w:cs="Arial"/>
          <w:color w:val="auto"/>
        </w:rPr>
        <w:t>5</w:t>
      </w:r>
      <w:r w:rsidRPr="00E56CBD">
        <w:rPr>
          <w:rFonts w:ascii="Arial" w:hAnsi="Arial" w:cs="Arial"/>
          <w:color w:val="auto"/>
        </w:rPr>
        <w:t>: Potential range of benefits from three LRT lines</w:t>
      </w:r>
    </w:p>
    <w:tbl>
      <w:tblPr>
        <w:tblStyle w:val="TableGrid"/>
        <w:tblW w:w="9072" w:type="dxa"/>
        <w:tblInd w:w="108" w:type="dxa"/>
        <w:tblLayout w:type="fixed"/>
        <w:tblLook w:val="04A0" w:firstRow="1" w:lastRow="0" w:firstColumn="1" w:lastColumn="0" w:noHBand="0" w:noVBand="1"/>
      </w:tblPr>
      <w:tblGrid>
        <w:gridCol w:w="2080"/>
        <w:gridCol w:w="2189"/>
        <w:gridCol w:w="2189"/>
        <w:gridCol w:w="2614"/>
      </w:tblGrid>
      <w:tr w:rsidR="00E747C6" w:rsidRPr="00E747C6" w14:paraId="5913A53E" w14:textId="77777777" w:rsidTr="00E56CBD">
        <w:trPr>
          <w:trHeight w:val="300"/>
        </w:trPr>
        <w:tc>
          <w:tcPr>
            <w:tcW w:w="2080" w:type="dxa"/>
            <w:noWrap/>
            <w:hideMark/>
          </w:tcPr>
          <w:p w14:paraId="53162961" w14:textId="77777777" w:rsidR="00E747C6" w:rsidRPr="00BB5B55" w:rsidRDefault="00E747C6" w:rsidP="00DF3386">
            <w:pPr>
              <w:rPr>
                <w:rFonts w:ascii="Arial" w:hAnsi="Arial" w:cs="Arial"/>
                <w:b/>
                <w:sz w:val="20"/>
                <w:szCs w:val="20"/>
              </w:rPr>
            </w:pPr>
            <w:r w:rsidRPr="00BB5B55">
              <w:rPr>
                <w:rFonts w:ascii="Arial" w:hAnsi="Arial" w:cs="Arial"/>
                <w:b/>
                <w:sz w:val="20"/>
                <w:szCs w:val="20"/>
              </w:rPr>
              <w:t>Line</w:t>
            </w:r>
          </w:p>
        </w:tc>
        <w:tc>
          <w:tcPr>
            <w:tcW w:w="2189" w:type="dxa"/>
            <w:noWrap/>
            <w:hideMark/>
          </w:tcPr>
          <w:p w14:paraId="143E545E" w14:textId="77777777" w:rsidR="00E747C6" w:rsidRPr="00BB5B55" w:rsidRDefault="00E747C6" w:rsidP="00A7037A">
            <w:pPr>
              <w:jc w:val="center"/>
              <w:rPr>
                <w:rFonts w:ascii="Arial" w:hAnsi="Arial" w:cs="Arial"/>
                <w:b/>
                <w:sz w:val="20"/>
                <w:szCs w:val="20"/>
              </w:rPr>
            </w:pPr>
            <w:r w:rsidRPr="00BB5B55">
              <w:rPr>
                <w:rFonts w:ascii="Arial" w:hAnsi="Arial" w:cs="Arial"/>
                <w:b/>
                <w:sz w:val="20"/>
                <w:szCs w:val="20"/>
              </w:rPr>
              <w:t>Low scenario</w:t>
            </w:r>
          </w:p>
        </w:tc>
        <w:tc>
          <w:tcPr>
            <w:tcW w:w="2189" w:type="dxa"/>
            <w:noWrap/>
            <w:hideMark/>
          </w:tcPr>
          <w:p w14:paraId="363763BB" w14:textId="77777777" w:rsidR="00E747C6" w:rsidRPr="00BB5B55" w:rsidRDefault="00E747C6" w:rsidP="00A7037A">
            <w:pPr>
              <w:jc w:val="center"/>
              <w:rPr>
                <w:rFonts w:ascii="Arial" w:hAnsi="Arial" w:cs="Arial"/>
                <w:b/>
                <w:sz w:val="20"/>
                <w:szCs w:val="20"/>
              </w:rPr>
            </w:pPr>
            <w:r w:rsidRPr="00BB5B55">
              <w:rPr>
                <w:rFonts w:ascii="Arial" w:hAnsi="Arial" w:cs="Arial"/>
                <w:b/>
                <w:sz w:val="20"/>
                <w:szCs w:val="20"/>
              </w:rPr>
              <w:t>Medium scenario</w:t>
            </w:r>
          </w:p>
        </w:tc>
        <w:tc>
          <w:tcPr>
            <w:tcW w:w="2614" w:type="dxa"/>
            <w:noWrap/>
            <w:hideMark/>
          </w:tcPr>
          <w:p w14:paraId="05F9BEA6" w14:textId="77777777" w:rsidR="00E747C6" w:rsidRPr="00BB5B55" w:rsidRDefault="00E747C6" w:rsidP="00A7037A">
            <w:pPr>
              <w:jc w:val="center"/>
              <w:rPr>
                <w:rFonts w:ascii="Arial" w:hAnsi="Arial" w:cs="Arial"/>
                <w:b/>
                <w:sz w:val="20"/>
                <w:szCs w:val="20"/>
              </w:rPr>
            </w:pPr>
            <w:r w:rsidRPr="00BB5B55">
              <w:rPr>
                <w:rFonts w:ascii="Arial" w:hAnsi="Arial" w:cs="Arial"/>
                <w:b/>
                <w:sz w:val="20"/>
                <w:szCs w:val="20"/>
              </w:rPr>
              <w:t>High scenario</w:t>
            </w:r>
          </w:p>
        </w:tc>
      </w:tr>
      <w:tr w:rsidR="00A962D3" w:rsidRPr="00E747C6" w14:paraId="4C7E2FD9" w14:textId="77777777" w:rsidTr="009814E1">
        <w:trPr>
          <w:trHeight w:val="300"/>
        </w:trPr>
        <w:tc>
          <w:tcPr>
            <w:tcW w:w="2080" w:type="dxa"/>
            <w:noWrap/>
            <w:hideMark/>
          </w:tcPr>
          <w:p w14:paraId="61B72B8A" w14:textId="77777777" w:rsidR="00A962D3" w:rsidRPr="00BB5B55" w:rsidRDefault="00A962D3" w:rsidP="00DF3386">
            <w:pPr>
              <w:rPr>
                <w:rFonts w:ascii="Arial" w:hAnsi="Arial" w:cs="Arial"/>
                <w:sz w:val="20"/>
                <w:szCs w:val="20"/>
              </w:rPr>
            </w:pPr>
            <w:r w:rsidRPr="00BB5B55">
              <w:rPr>
                <w:rFonts w:ascii="Arial" w:hAnsi="Arial" w:cs="Arial"/>
                <w:sz w:val="20"/>
                <w:szCs w:val="20"/>
              </w:rPr>
              <w:t>Western Bays</w:t>
            </w:r>
          </w:p>
        </w:tc>
        <w:tc>
          <w:tcPr>
            <w:tcW w:w="2189" w:type="dxa"/>
            <w:noWrap/>
            <w:vAlign w:val="bottom"/>
            <w:hideMark/>
          </w:tcPr>
          <w:p w14:paraId="4B0E3C2D" w14:textId="151E34B8" w:rsidR="00A962D3" w:rsidRPr="00111C81" w:rsidRDefault="00A962D3" w:rsidP="00111C81">
            <w:pPr>
              <w:jc w:val="center"/>
              <w:rPr>
                <w:rFonts w:ascii="Arial" w:hAnsi="Arial" w:cs="Arial"/>
                <w:sz w:val="20"/>
                <w:szCs w:val="20"/>
              </w:rPr>
            </w:pPr>
            <w:r w:rsidRPr="00111C81">
              <w:rPr>
                <w:rFonts w:ascii="Arial" w:eastAsia="Times New Roman" w:hAnsi="Arial"/>
                <w:color w:val="000000"/>
                <w:sz w:val="20"/>
                <w:szCs w:val="20"/>
              </w:rPr>
              <w:t>$0.5bn</w:t>
            </w:r>
          </w:p>
        </w:tc>
        <w:tc>
          <w:tcPr>
            <w:tcW w:w="2189" w:type="dxa"/>
            <w:noWrap/>
            <w:vAlign w:val="bottom"/>
            <w:hideMark/>
          </w:tcPr>
          <w:p w14:paraId="7C276B87" w14:textId="000B611E" w:rsidR="00A962D3" w:rsidRPr="00A962D3" w:rsidRDefault="00A962D3" w:rsidP="00111C81">
            <w:pPr>
              <w:jc w:val="center"/>
              <w:rPr>
                <w:rFonts w:ascii="Arial" w:hAnsi="Arial" w:cs="Arial"/>
                <w:sz w:val="20"/>
                <w:szCs w:val="20"/>
              </w:rPr>
            </w:pPr>
            <w:r w:rsidRPr="00A962D3">
              <w:rPr>
                <w:rFonts w:ascii="Arial" w:eastAsia="Times New Roman" w:hAnsi="Arial" w:cs="Arial"/>
                <w:color w:val="000000"/>
                <w:sz w:val="20"/>
                <w:szCs w:val="20"/>
              </w:rPr>
              <w:t>$1.7bn</w:t>
            </w:r>
          </w:p>
        </w:tc>
        <w:tc>
          <w:tcPr>
            <w:tcW w:w="2614" w:type="dxa"/>
            <w:noWrap/>
            <w:vAlign w:val="bottom"/>
            <w:hideMark/>
          </w:tcPr>
          <w:p w14:paraId="0F550A70" w14:textId="02CE25C5" w:rsidR="00A962D3" w:rsidRPr="00111C81" w:rsidRDefault="00A962D3" w:rsidP="00111C81">
            <w:pPr>
              <w:jc w:val="center"/>
              <w:rPr>
                <w:rFonts w:ascii="Arial" w:hAnsi="Arial" w:cs="Arial"/>
                <w:sz w:val="20"/>
                <w:szCs w:val="20"/>
              </w:rPr>
            </w:pPr>
            <w:r w:rsidRPr="00111C81">
              <w:rPr>
                <w:rFonts w:ascii="Arial" w:eastAsia="Times New Roman" w:hAnsi="Arial"/>
                <w:color w:val="000000"/>
                <w:sz w:val="20"/>
                <w:szCs w:val="20"/>
              </w:rPr>
              <w:t>$2.8bn</w:t>
            </w:r>
          </w:p>
        </w:tc>
      </w:tr>
      <w:tr w:rsidR="00A962D3" w:rsidRPr="00E747C6" w14:paraId="351667CF" w14:textId="77777777" w:rsidTr="009814E1">
        <w:trPr>
          <w:trHeight w:val="300"/>
        </w:trPr>
        <w:tc>
          <w:tcPr>
            <w:tcW w:w="2080" w:type="dxa"/>
            <w:noWrap/>
            <w:hideMark/>
          </w:tcPr>
          <w:p w14:paraId="1FFE6469" w14:textId="77777777" w:rsidR="00A962D3" w:rsidRPr="00BB5B55" w:rsidRDefault="00A962D3" w:rsidP="00DF3386">
            <w:pPr>
              <w:rPr>
                <w:rFonts w:ascii="Arial" w:hAnsi="Arial" w:cs="Arial"/>
                <w:sz w:val="20"/>
                <w:szCs w:val="20"/>
              </w:rPr>
            </w:pPr>
            <w:r w:rsidRPr="00BB5B55">
              <w:rPr>
                <w:rFonts w:ascii="Arial" w:hAnsi="Arial" w:cs="Arial"/>
                <w:sz w:val="20"/>
                <w:szCs w:val="20"/>
              </w:rPr>
              <w:t>Tamaki Drive</w:t>
            </w:r>
          </w:p>
        </w:tc>
        <w:tc>
          <w:tcPr>
            <w:tcW w:w="2189" w:type="dxa"/>
            <w:noWrap/>
            <w:vAlign w:val="bottom"/>
            <w:hideMark/>
          </w:tcPr>
          <w:p w14:paraId="7D5EDC0B" w14:textId="3C3B4E5D" w:rsidR="00A962D3" w:rsidRPr="00111C81" w:rsidRDefault="00A962D3" w:rsidP="00111C81">
            <w:pPr>
              <w:jc w:val="center"/>
              <w:rPr>
                <w:rFonts w:ascii="Arial" w:hAnsi="Arial" w:cs="Arial"/>
                <w:sz w:val="20"/>
                <w:szCs w:val="20"/>
              </w:rPr>
            </w:pPr>
            <w:r w:rsidRPr="00111C81">
              <w:rPr>
                <w:rFonts w:ascii="Arial" w:eastAsia="Times New Roman" w:hAnsi="Arial"/>
                <w:color w:val="000000"/>
                <w:sz w:val="20"/>
                <w:szCs w:val="20"/>
              </w:rPr>
              <w:t>$0.2bn</w:t>
            </w:r>
          </w:p>
        </w:tc>
        <w:tc>
          <w:tcPr>
            <w:tcW w:w="2189" w:type="dxa"/>
            <w:noWrap/>
            <w:vAlign w:val="bottom"/>
            <w:hideMark/>
          </w:tcPr>
          <w:p w14:paraId="3B2C9246" w14:textId="4ADCD85C" w:rsidR="00A962D3" w:rsidRPr="00A962D3" w:rsidRDefault="00A962D3" w:rsidP="00111C81">
            <w:pPr>
              <w:jc w:val="center"/>
              <w:rPr>
                <w:rFonts w:ascii="Arial" w:hAnsi="Arial" w:cs="Arial"/>
                <w:sz w:val="20"/>
                <w:szCs w:val="20"/>
              </w:rPr>
            </w:pPr>
            <w:r w:rsidRPr="00A962D3">
              <w:rPr>
                <w:rFonts w:ascii="Arial" w:eastAsia="Times New Roman" w:hAnsi="Arial" w:cs="Arial"/>
                <w:color w:val="000000"/>
                <w:sz w:val="20"/>
                <w:szCs w:val="20"/>
              </w:rPr>
              <w:t>$0.8bn</w:t>
            </w:r>
          </w:p>
        </w:tc>
        <w:tc>
          <w:tcPr>
            <w:tcW w:w="2614" w:type="dxa"/>
            <w:noWrap/>
            <w:vAlign w:val="bottom"/>
            <w:hideMark/>
          </w:tcPr>
          <w:p w14:paraId="37F46012" w14:textId="479CD268" w:rsidR="00A962D3" w:rsidRPr="00111C81" w:rsidRDefault="00A962D3" w:rsidP="00111C81">
            <w:pPr>
              <w:jc w:val="center"/>
              <w:rPr>
                <w:rFonts w:ascii="Arial" w:hAnsi="Arial" w:cs="Arial"/>
                <w:sz w:val="20"/>
                <w:szCs w:val="20"/>
              </w:rPr>
            </w:pPr>
            <w:r w:rsidRPr="00111C81">
              <w:rPr>
                <w:rFonts w:ascii="Arial" w:eastAsia="Times New Roman" w:hAnsi="Arial"/>
                <w:color w:val="000000"/>
                <w:sz w:val="20"/>
                <w:szCs w:val="20"/>
              </w:rPr>
              <w:t>$1.4bn</w:t>
            </w:r>
          </w:p>
        </w:tc>
      </w:tr>
      <w:tr w:rsidR="00A962D3" w:rsidRPr="00E747C6" w14:paraId="054595AB" w14:textId="77777777" w:rsidTr="009814E1">
        <w:trPr>
          <w:trHeight w:val="300"/>
        </w:trPr>
        <w:tc>
          <w:tcPr>
            <w:tcW w:w="2080" w:type="dxa"/>
            <w:noWrap/>
            <w:hideMark/>
          </w:tcPr>
          <w:p w14:paraId="37993ECD" w14:textId="77777777" w:rsidR="00A962D3" w:rsidRPr="00BB5B55" w:rsidRDefault="00A962D3" w:rsidP="00DF3386">
            <w:pPr>
              <w:rPr>
                <w:rFonts w:ascii="Arial" w:hAnsi="Arial" w:cs="Arial"/>
                <w:sz w:val="20"/>
                <w:szCs w:val="20"/>
              </w:rPr>
            </w:pPr>
            <w:r w:rsidRPr="00BB5B55">
              <w:rPr>
                <w:rFonts w:ascii="Arial" w:hAnsi="Arial" w:cs="Arial"/>
                <w:sz w:val="20"/>
                <w:szCs w:val="20"/>
              </w:rPr>
              <w:t xml:space="preserve">Botany to </w:t>
            </w:r>
            <w:proofErr w:type="spellStart"/>
            <w:r w:rsidRPr="00BB5B55">
              <w:rPr>
                <w:rFonts w:ascii="Arial" w:hAnsi="Arial" w:cs="Arial"/>
                <w:sz w:val="20"/>
                <w:szCs w:val="20"/>
              </w:rPr>
              <w:t>Manukau</w:t>
            </w:r>
            <w:proofErr w:type="spellEnd"/>
          </w:p>
        </w:tc>
        <w:tc>
          <w:tcPr>
            <w:tcW w:w="2189" w:type="dxa"/>
            <w:noWrap/>
            <w:vAlign w:val="bottom"/>
            <w:hideMark/>
          </w:tcPr>
          <w:p w14:paraId="0D0B06B5" w14:textId="5D34ADE3" w:rsidR="00A962D3" w:rsidRPr="00111C81" w:rsidRDefault="00A962D3" w:rsidP="00111C81">
            <w:pPr>
              <w:jc w:val="center"/>
              <w:rPr>
                <w:rFonts w:ascii="Arial" w:hAnsi="Arial" w:cs="Arial"/>
                <w:sz w:val="20"/>
                <w:szCs w:val="20"/>
              </w:rPr>
            </w:pPr>
            <w:r w:rsidRPr="00111C81">
              <w:rPr>
                <w:rFonts w:ascii="Arial" w:eastAsia="Times New Roman" w:hAnsi="Arial"/>
                <w:color w:val="000000"/>
                <w:sz w:val="20"/>
                <w:szCs w:val="20"/>
              </w:rPr>
              <w:t>$0.1bn</w:t>
            </w:r>
          </w:p>
        </w:tc>
        <w:tc>
          <w:tcPr>
            <w:tcW w:w="2189" w:type="dxa"/>
            <w:noWrap/>
            <w:vAlign w:val="bottom"/>
            <w:hideMark/>
          </w:tcPr>
          <w:p w14:paraId="7B0D051F" w14:textId="6499D694" w:rsidR="00A962D3" w:rsidRPr="00A962D3" w:rsidRDefault="00A962D3" w:rsidP="00111C81">
            <w:pPr>
              <w:jc w:val="center"/>
              <w:rPr>
                <w:rFonts w:ascii="Arial" w:hAnsi="Arial" w:cs="Arial"/>
                <w:sz w:val="20"/>
                <w:szCs w:val="20"/>
              </w:rPr>
            </w:pPr>
            <w:r w:rsidRPr="00A962D3">
              <w:rPr>
                <w:rFonts w:ascii="Arial" w:eastAsia="Times New Roman" w:hAnsi="Arial" w:cs="Arial"/>
                <w:color w:val="000000"/>
                <w:sz w:val="20"/>
                <w:szCs w:val="20"/>
              </w:rPr>
              <w:t>$0.3bn</w:t>
            </w:r>
          </w:p>
        </w:tc>
        <w:tc>
          <w:tcPr>
            <w:tcW w:w="2614" w:type="dxa"/>
            <w:noWrap/>
            <w:vAlign w:val="bottom"/>
            <w:hideMark/>
          </w:tcPr>
          <w:p w14:paraId="3D8A7F62" w14:textId="0769EB22" w:rsidR="00A962D3" w:rsidRPr="00111C81" w:rsidRDefault="00A962D3" w:rsidP="00111C81">
            <w:pPr>
              <w:jc w:val="center"/>
              <w:rPr>
                <w:rFonts w:ascii="Arial" w:hAnsi="Arial" w:cs="Arial"/>
                <w:sz w:val="20"/>
                <w:szCs w:val="20"/>
              </w:rPr>
            </w:pPr>
            <w:r w:rsidRPr="00111C81">
              <w:rPr>
                <w:rFonts w:ascii="Arial" w:eastAsia="Times New Roman" w:hAnsi="Arial"/>
                <w:color w:val="000000"/>
                <w:sz w:val="20"/>
                <w:szCs w:val="20"/>
              </w:rPr>
              <w:t>$0.5bn</w:t>
            </w:r>
          </w:p>
        </w:tc>
      </w:tr>
    </w:tbl>
    <w:p w14:paraId="61C5A42A" w14:textId="27601220" w:rsidR="00E747C6" w:rsidRPr="007853FF" w:rsidRDefault="007853FF" w:rsidP="007853FF">
      <w:pPr>
        <w:pStyle w:val="SectionHeadingLevel2"/>
        <w:ind w:left="0" w:firstLine="0"/>
      </w:pPr>
      <w:r>
        <w:t>5.5 Step 5: Comparing project benefits and costs</w:t>
      </w:r>
    </w:p>
    <w:p w14:paraId="45CD807A" w14:textId="7C1F985B" w:rsidR="00E747C6" w:rsidRPr="00BB5B55" w:rsidRDefault="00E747C6" w:rsidP="007853FF">
      <w:pPr>
        <w:jc w:val="both"/>
        <w:rPr>
          <w:rFonts w:ascii="Arial" w:hAnsi="Arial" w:cs="Arial"/>
          <w:sz w:val="22"/>
          <w:szCs w:val="22"/>
        </w:rPr>
      </w:pPr>
      <w:r w:rsidRPr="00BB5B55">
        <w:rPr>
          <w:rFonts w:ascii="Arial" w:hAnsi="Arial" w:cs="Arial"/>
          <w:sz w:val="22"/>
          <w:szCs w:val="22"/>
        </w:rPr>
        <w:t xml:space="preserve">Finally, we consider – at a high level – whether these projects are likely to pass a cost-benefit test. One simple </w:t>
      </w:r>
      <w:r w:rsidR="00E0208F">
        <w:rPr>
          <w:rFonts w:ascii="Arial" w:hAnsi="Arial" w:cs="Arial"/>
          <w:sz w:val="22"/>
          <w:szCs w:val="22"/>
        </w:rPr>
        <w:t>method</w:t>
      </w:r>
      <w:r w:rsidRPr="00BB5B55">
        <w:rPr>
          <w:rFonts w:ascii="Arial" w:hAnsi="Arial" w:cs="Arial"/>
          <w:sz w:val="22"/>
          <w:szCs w:val="22"/>
        </w:rPr>
        <w:t xml:space="preserve"> is to consider whether per-kilometre benefits, </w:t>
      </w:r>
      <w:proofErr w:type="spellStart"/>
      <w:r w:rsidR="003D61C4">
        <w:rPr>
          <w:rFonts w:ascii="Arial" w:hAnsi="Arial" w:cs="Arial"/>
          <w:sz w:val="22"/>
          <w:szCs w:val="22"/>
        </w:rPr>
        <w:t>proxied</w:t>
      </w:r>
      <w:proofErr w:type="spellEnd"/>
      <w:r w:rsidR="003D61C4">
        <w:rPr>
          <w:rFonts w:ascii="Arial" w:hAnsi="Arial" w:cs="Arial"/>
          <w:sz w:val="22"/>
          <w:szCs w:val="22"/>
        </w:rPr>
        <w:t xml:space="preserve"> by</w:t>
      </w:r>
      <w:r w:rsidRPr="00BB5B55">
        <w:rPr>
          <w:rFonts w:ascii="Arial" w:hAnsi="Arial" w:cs="Arial"/>
          <w:sz w:val="22"/>
          <w:szCs w:val="22"/>
        </w:rPr>
        <w:t xml:space="preserve"> property valu</w:t>
      </w:r>
      <w:r w:rsidR="00E0208F">
        <w:rPr>
          <w:rFonts w:ascii="Arial" w:hAnsi="Arial" w:cs="Arial"/>
          <w:sz w:val="22"/>
          <w:szCs w:val="22"/>
        </w:rPr>
        <w:t>e uplift, are likely to exceed</w:t>
      </w:r>
      <w:r w:rsidRPr="00BB5B55">
        <w:rPr>
          <w:rFonts w:ascii="Arial" w:hAnsi="Arial" w:cs="Arial"/>
          <w:sz w:val="22"/>
          <w:szCs w:val="22"/>
        </w:rPr>
        <w:t xml:space="preserve"> per-kilometre costs to construct LRT.</w:t>
      </w:r>
      <w:r w:rsidR="007853FF">
        <w:rPr>
          <w:rFonts w:ascii="Arial" w:hAnsi="Arial" w:cs="Arial"/>
          <w:sz w:val="22"/>
          <w:szCs w:val="22"/>
        </w:rPr>
        <w:t xml:space="preserve"> </w:t>
      </w:r>
      <w:r w:rsidRPr="00BB5B55">
        <w:rPr>
          <w:rFonts w:ascii="Arial" w:hAnsi="Arial" w:cs="Arial"/>
          <w:sz w:val="22"/>
          <w:szCs w:val="22"/>
        </w:rPr>
        <w:t>We assume that separated LRT in existing road corridors costs approximately $60 million per kilometre to construct</w:t>
      </w:r>
      <w:r w:rsidR="00B01203" w:rsidRPr="00BB5B55">
        <w:rPr>
          <w:rFonts w:ascii="Arial" w:hAnsi="Arial" w:cs="Arial"/>
          <w:sz w:val="22"/>
          <w:szCs w:val="22"/>
        </w:rPr>
        <w:t xml:space="preserve">, </w:t>
      </w:r>
      <w:r w:rsidR="00F45308">
        <w:rPr>
          <w:rFonts w:ascii="Arial" w:hAnsi="Arial" w:cs="Arial"/>
          <w:sz w:val="22"/>
          <w:szCs w:val="22"/>
        </w:rPr>
        <w:t>and $20million per kilometer for vehicle and operating costs (</w:t>
      </w:r>
      <w:r w:rsidR="00DC0D26">
        <w:rPr>
          <w:rFonts w:ascii="Arial" w:hAnsi="Arial" w:cs="Arial"/>
          <w:sz w:val="22"/>
          <w:szCs w:val="22"/>
        </w:rPr>
        <w:t>discounting future costs to today’s dollars</w:t>
      </w:r>
      <w:r w:rsidR="00F45308">
        <w:rPr>
          <w:rFonts w:ascii="Arial" w:hAnsi="Arial" w:cs="Arial"/>
          <w:sz w:val="22"/>
          <w:szCs w:val="22"/>
        </w:rPr>
        <w:t>).</w:t>
      </w:r>
      <w:r w:rsidR="003D61C4">
        <w:rPr>
          <w:rFonts w:ascii="Arial" w:hAnsi="Arial" w:cs="Arial"/>
          <w:sz w:val="22"/>
          <w:szCs w:val="22"/>
        </w:rPr>
        <w:t xml:space="preserve"> (Actual project costs will vary depending upon technical specifications and route characteristics.)</w:t>
      </w:r>
      <w:r w:rsidR="00F45308">
        <w:rPr>
          <w:rFonts w:ascii="Arial" w:hAnsi="Arial" w:cs="Arial"/>
          <w:sz w:val="22"/>
          <w:szCs w:val="22"/>
        </w:rPr>
        <w:t xml:space="preserve"> </w:t>
      </w:r>
      <w:r w:rsidRPr="00BB5B55">
        <w:rPr>
          <w:rFonts w:ascii="Arial" w:hAnsi="Arial" w:cs="Arial"/>
          <w:sz w:val="22"/>
          <w:szCs w:val="22"/>
        </w:rPr>
        <w:t xml:space="preserve">Based on the figures reported in </w:t>
      </w:r>
      <w:r w:rsidR="00300826">
        <w:rPr>
          <w:rFonts w:ascii="Arial" w:hAnsi="Arial" w:cs="Arial"/>
          <w:sz w:val="22"/>
          <w:szCs w:val="22"/>
        </w:rPr>
        <w:t xml:space="preserve">Tables </w:t>
      </w:r>
      <w:r w:rsidR="00380D17">
        <w:rPr>
          <w:rFonts w:ascii="Arial" w:hAnsi="Arial" w:cs="Arial"/>
          <w:sz w:val="22"/>
          <w:szCs w:val="22"/>
        </w:rPr>
        <w:t>4</w:t>
      </w:r>
      <w:r w:rsidR="00300826">
        <w:rPr>
          <w:rFonts w:ascii="Arial" w:hAnsi="Arial" w:cs="Arial"/>
          <w:sz w:val="22"/>
          <w:szCs w:val="22"/>
        </w:rPr>
        <w:t xml:space="preserve"> and </w:t>
      </w:r>
      <w:r w:rsidR="00380D17">
        <w:rPr>
          <w:rFonts w:ascii="Arial" w:hAnsi="Arial" w:cs="Arial"/>
          <w:sz w:val="22"/>
          <w:szCs w:val="22"/>
        </w:rPr>
        <w:t>5</w:t>
      </w:r>
      <w:r w:rsidRPr="00BB5B55">
        <w:rPr>
          <w:rFonts w:ascii="Arial" w:hAnsi="Arial" w:cs="Arial"/>
          <w:sz w:val="22"/>
          <w:szCs w:val="22"/>
        </w:rPr>
        <w:t xml:space="preserve"> above, we have calculated an indicative range of </w:t>
      </w:r>
      <w:r w:rsidR="00196540">
        <w:rPr>
          <w:rFonts w:ascii="Arial" w:hAnsi="Arial" w:cs="Arial"/>
          <w:sz w:val="22"/>
          <w:szCs w:val="22"/>
        </w:rPr>
        <w:t>benefit-cost-ratio</w:t>
      </w:r>
      <w:r w:rsidR="00E0208F">
        <w:rPr>
          <w:rFonts w:ascii="Arial" w:hAnsi="Arial" w:cs="Arial"/>
          <w:sz w:val="22"/>
          <w:szCs w:val="22"/>
        </w:rPr>
        <w:t>s</w:t>
      </w:r>
      <w:r w:rsidRPr="00BB5B55">
        <w:rPr>
          <w:rFonts w:ascii="Arial" w:hAnsi="Arial" w:cs="Arial"/>
          <w:sz w:val="22"/>
          <w:szCs w:val="22"/>
        </w:rPr>
        <w:t xml:space="preserve"> for these three lines.</w:t>
      </w:r>
    </w:p>
    <w:p w14:paraId="77C698CA" w14:textId="77777777" w:rsidR="00E747C6" w:rsidRPr="00BB5B55" w:rsidRDefault="00E747C6" w:rsidP="007853FF">
      <w:pPr>
        <w:jc w:val="both"/>
        <w:rPr>
          <w:rFonts w:ascii="Arial" w:hAnsi="Arial" w:cs="Arial"/>
          <w:sz w:val="22"/>
          <w:szCs w:val="22"/>
        </w:rPr>
      </w:pPr>
    </w:p>
    <w:p w14:paraId="18E080BC" w14:textId="6324C3E2" w:rsidR="00E747C6" w:rsidRPr="00BB5B55" w:rsidRDefault="00300826" w:rsidP="007853FF">
      <w:pPr>
        <w:jc w:val="both"/>
        <w:rPr>
          <w:rFonts w:ascii="Arial" w:hAnsi="Arial" w:cs="Arial"/>
          <w:sz w:val="22"/>
          <w:szCs w:val="22"/>
        </w:rPr>
      </w:pPr>
      <w:r>
        <w:rPr>
          <w:rFonts w:ascii="Arial" w:hAnsi="Arial" w:cs="Arial"/>
          <w:sz w:val="22"/>
          <w:szCs w:val="22"/>
        </w:rPr>
        <w:t xml:space="preserve">Table </w:t>
      </w:r>
      <w:r w:rsidR="00380D17">
        <w:rPr>
          <w:rFonts w:ascii="Arial" w:hAnsi="Arial" w:cs="Arial"/>
          <w:sz w:val="22"/>
          <w:szCs w:val="22"/>
        </w:rPr>
        <w:t>6</w:t>
      </w:r>
      <w:r w:rsidR="00DC0D26">
        <w:rPr>
          <w:rFonts w:ascii="Arial" w:hAnsi="Arial" w:cs="Arial"/>
          <w:sz w:val="22"/>
          <w:szCs w:val="22"/>
        </w:rPr>
        <w:t xml:space="preserve"> suggests</w:t>
      </w:r>
      <w:r w:rsidR="00E747C6" w:rsidRPr="00BB5B55">
        <w:rPr>
          <w:rFonts w:ascii="Arial" w:hAnsi="Arial" w:cs="Arial"/>
          <w:sz w:val="22"/>
          <w:szCs w:val="22"/>
        </w:rPr>
        <w:t xml:space="preserve"> </w:t>
      </w:r>
      <w:r w:rsidR="00832528">
        <w:rPr>
          <w:rFonts w:ascii="Arial" w:hAnsi="Arial" w:cs="Arial"/>
          <w:sz w:val="22"/>
          <w:szCs w:val="22"/>
        </w:rPr>
        <w:t xml:space="preserve">that </w:t>
      </w:r>
      <w:r w:rsidR="00E747C6" w:rsidRPr="00BB5B55">
        <w:rPr>
          <w:rFonts w:ascii="Arial" w:hAnsi="Arial" w:cs="Arial"/>
          <w:sz w:val="22"/>
          <w:szCs w:val="22"/>
        </w:rPr>
        <w:t xml:space="preserve">the Western Bays line is most likely to provide economic benefits that exceed its costs. Other lines do not perform as strongly. In the case of the Botany to </w:t>
      </w:r>
      <w:proofErr w:type="spellStart"/>
      <w:r w:rsidR="00E747C6" w:rsidRPr="00BB5B55">
        <w:rPr>
          <w:rFonts w:ascii="Arial" w:hAnsi="Arial" w:cs="Arial"/>
          <w:sz w:val="22"/>
          <w:szCs w:val="22"/>
        </w:rPr>
        <w:t>Manukau</w:t>
      </w:r>
      <w:proofErr w:type="spellEnd"/>
      <w:r w:rsidR="00E747C6" w:rsidRPr="00BB5B55">
        <w:rPr>
          <w:rFonts w:ascii="Arial" w:hAnsi="Arial" w:cs="Arial"/>
          <w:sz w:val="22"/>
          <w:szCs w:val="22"/>
        </w:rPr>
        <w:t xml:space="preserve"> line, this is due largely to the relatively low land values in the area, which signal a lack of</w:t>
      </w:r>
      <w:r w:rsidR="00E0208F">
        <w:rPr>
          <w:rFonts w:ascii="Arial" w:hAnsi="Arial" w:cs="Arial"/>
          <w:sz w:val="22"/>
          <w:szCs w:val="22"/>
        </w:rPr>
        <w:t xml:space="preserve"> demand for more intensive uses or for accessibility improvements to high value </w:t>
      </w:r>
      <w:r>
        <w:rPr>
          <w:rFonts w:ascii="Arial" w:hAnsi="Arial" w:cs="Arial"/>
          <w:sz w:val="22"/>
          <w:szCs w:val="22"/>
        </w:rPr>
        <w:lastRenderedPageBreak/>
        <w:t xml:space="preserve">commercial </w:t>
      </w:r>
      <w:proofErr w:type="spellStart"/>
      <w:r w:rsidR="00E0208F">
        <w:rPr>
          <w:rFonts w:ascii="Arial" w:hAnsi="Arial" w:cs="Arial"/>
          <w:sz w:val="22"/>
          <w:szCs w:val="22"/>
        </w:rPr>
        <w:t>centres</w:t>
      </w:r>
      <w:proofErr w:type="spellEnd"/>
      <w:r w:rsidR="00E747C6" w:rsidRPr="00BB5B55">
        <w:rPr>
          <w:rFonts w:ascii="Arial" w:hAnsi="Arial" w:cs="Arial"/>
          <w:sz w:val="22"/>
          <w:szCs w:val="22"/>
        </w:rPr>
        <w:t xml:space="preserve">. In the case of the Tamaki Drive line, land values are higher, but </w:t>
      </w:r>
      <w:r w:rsidR="00196540">
        <w:rPr>
          <w:rFonts w:ascii="Arial" w:hAnsi="Arial" w:cs="Arial"/>
          <w:sz w:val="22"/>
          <w:szCs w:val="22"/>
        </w:rPr>
        <w:t>the catchment area is smaller</w:t>
      </w:r>
      <w:r w:rsidR="00E747C6" w:rsidRPr="00BB5B55">
        <w:rPr>
          <w:rFonts w:ascii="Arial" w:hAnsi="Arial" w:cs="Arial"/>
          <w:sz w:val="22"/>
          <w:szCs w:val="22"/>
        </w:rPr>
        <w:t xml:space="preserve"> due to the fact that it runs directly on the coastline.</w:t>
      </w:r>
    </w:p>
    <w:p w14:paraId="77B76FCE" w14:textId="77777777" w:rsidR="00E747C6" w:rsidRPr="00E747C6" w:rsidRDefault="00E747C6" w:rsidP="007853FF">
      <w:pPr>
        <w:jc w:val="both"/>
        <w:rPr>
          <w:rFonts w:ascii="Arial" w:hAnsi="Arial" w:cs="Arial"/>
          <w:sz w:val="22"/>
          <w:szCs w:val="22"/>
        </w:rPr>
      </w:pPr>
    </w:p>
    <w:p w14:paraId="534924ED" w14:textId="147B9370" w:rsidR="00E747C6" w:rsidRPr="007853FF" w:rsidRDefault="00E747C6" w:rsidP="007853FF">
      <w:pPr>
        <w:pStyle w:val="Caption"/>
        <w:jc w:val="both"/>
        <w:rPr>
          <w:rFonts w:ascii="Arial" w:hAnsi="Arial" w:cs="Arial"/>
          <w:color w:val="auto"/>
          <w:sz w:val="20"/>
          <w:szCs w:val="20"/>
        </w:rPr>
      </w:pPr>
      <w:bookmarkStart w:id="4" w:name="_Ref294905611"/>
      <w:r w:rsidRPr="007853FF">
        <w:rPr>
          <w:rFonts w:ascii="Arial" w:hAnsi="Arial" w:cs="Arial"/>
          <w:color w:val="auto"/>
          <w:sz w:val="20"/>
          <w:szCs w:val="20"/>
        </w:rPr>
        <w:t>Table</w:t>
      </w:r>
      <w:bookmarkEnd w:id="4"/>
      <w:r w:rsidR="00300826">
        <w:rPr>
          <w:rFonts w:ascii="Arial" w:hAnsi="Arial" w:cs="Arial"/>
          <w:color w:val="auto"/>
          <w:sz w:val="20"/>
          <w:szCs w:val="20"/>
        </w:rPr>
        <w:t xml:space="preserve"> </w:t>
      </w:r>
      <w:r w:rsidR="00380D17">
        <w:rPr>
          <w:rFonts w:ascii="Arial" w:hAnsi="Arial" w:cs="Arial"/>
          <w:color w:val="auto"/>
          <w:sz w:val="20"/>
          <w:szCs w:val="20"/>
        </w:rPr>
        <w:t>6</w:t>
      </w:r>
      <w:r w:rsidRPr="007853FF">
        <w:rPr>
          <w:rFonts w:ascii="Arial" w:hAnsi="Arial" w:cs="Arial"/>
          <w:color w:val="auto"/>
          <w:sz w:val="20"/>
          <w:szCs w:val="20"/>
        </w:rPr>
        <w:t>: Potential range of benefit-cost ratios for three LRT lines</w:t>
      </w:r>
    </w:p>
    <w:tbl>
      <w:tblPr>
        <w:tblStyle w:val="TableGrid"/>
        <w:tblW w:w="8931" w:type="dxa"/>
        <w:tblInd w:w="109" w:type="dxa"/>
        <w:tblLayout w:type="fixed"/>
        <w:tblLook w:val="04A0" w:firstRow="1" w:lastRow="0" w:firstColumn="1" w:lastColumn="0" w:noHBand="0" w:noVBand="1"/>
      </w:tblPr>
      <w:tblGrid>
        <w:gridCol w:w="2079"/>
        <w:gridCol w:w="2189"/>
        <w:gridCol w:w="2189"/>
        <w:gridCol w:w="2474"/>
      </w:tblGrid>
      <w:tr w:rsidR="00E747C6" w:rsidRPr="00E747C6" w14:paraId="47C2E3A3" w14:textId="77777777" w:rsidTr="007853FF">
        <w:trPr>
          <w:trHeight w:val="300"/>
        </w:trPr>
        <w:tc>
          <w:tcPr>
            <w:tcW w:w="2079" w:type="dxa"/>
            <w:noWrap/>
            <w:hideMark/>
          </w:tcPr>
          <w:p w14:paraId="381A71F0" w14:textId="77777777" w:rsidR="00E747C6" w:rsidRPr="00BB5B55" w:rsidRDefault="00E747C6" w:rsidP="007853FF">
            <w:pPr>
              <w:jc w:val="both"/>
              <w:rPr>
                <w:rFonts w:ascii="Arial" w:hAnsi="Arial" w:cs="Arial"/>
                <w:b/>
                <w:sz w:val="20"/>
                <w:szCs w:val="20"/>
              </w:rPr>
            </w:pPr>
            <w:r w:rsidRPr="00BB5B55">
              <w:rPr>
                <w:rFonts w:ascii="Arial" w:hAnsi="Arial" w:cs="Arial"/>
                <w:b/>
                <w:sz w:val="20"/>
                <w:szCs w:val="20"/>
              </w:rPr>
              <w:t>Line</w:t>
            </w:r>
          </w:p>
        </w:tc>
        <w:tc>
          <w:tcPr>
            <w:tcW w:w="2189" w:type="dxa"/>
            <w:noWrap/>
            <w:hideMark/>
          </w:tcPr>
          <w:p w14:paraId="6991D5DB" w14:textId="77777777" w:rsidR="00E747C6" w:rsidRPr="00BB5B55" w:rsidRDefault="00E747C6" w:rsidP="007853FF">
            <w:pPr>
              <w:jc w:val="both"/>
              <w:rPr>
                <w:rFonts w:ascii="Arial" w:hAnsi="Arial" w:cs="Arial"/>
                <w:b/>
                <w:sz w:val="20"/>
                <w:szCs w:val="20"/>
              </w:rPr>
            </w:pPr>
            <w:r w:rsidRPr="00BB5B55">
              <w:rPr>
                <w:rFonts w:ascii="Arial" w:hAnsi="Arial" w:cs="Arial"/>
                <w:b/>
                <w:sz w:val="20"/>
                <w:szCs w:val="20"/>
              </w:rPr>
              <w:t>Low scenario</w:t>
            </w:r>
          </w:p>
        </w:tc>
        <w:tc>
          <w:tcPr>
            <w:tcW w:w="2189" w:type="dxa"/>
            <w:noWrap/>
            <w:hideMark/>
          </w:tcPr>
          <w:p w14:paraId="1AC63250" w14:textId="77777777" w:rsidR="00E747C6" w:rsidRPr="00BB5B55" w:rsidRDefault="00E747C6" w:rsidP="007853FF">
            <w:pPr>
              <w:jc w:val="both"/>
              <w:rPr>
                <w:rFonts w:ascii="Arial" w:hAnsi="Arial" w:cs="Arial"/>
                <w:b/>
                <w:sz w:val="20"/>
                <w:szCs w:val="20"/>
              </w:rPr>
            </w:pPr>
            <w:r w:rsidRPr="00BB5B55">
              <w:rPr>
                <w:rFonts w:ascii="Arial" w:hAnsi="Arial" w:cs="Arial"/>
                <w:b/>
                <w:sz w:val="20"/>
                <w:szCs w:val="20"/>
              </w:rPr>
              <w:t>Medium scenario</w:t>
            </w:r>
          </w:p>
        </w:tc>
        <w:tc>
          <w:tcPr>
            <w:tcW w:w="2474" w:type="dxa"/>
            <w:noWrap/>
            <w:hideMark/>
          </w:tcPr>
          <w:p w14:paraId="4084F54A" w14:textId="77777777" w:rsidR="00E747C6" w:rsidRPr="00BB5B55" w:rsidRDefault="00E747C6" w:rsidP="007853FF">
            <w:pPr>
              <w:jc w:val="both"/>
              <w:rPr>
                <w:rFonts w:ascii="Arial" w:hAnsi="Arial" w:cs="Arial"/>
                <w:b/>
                <w:sz w:val="20"/>
                <w:szCs w:val="20"/>
              </w:rPr>
            </w:pPr>
            <w:r w:rsidRPr="00BB5B55">
              <w:rPr>
                <w:rFonts w:ascii="Arial" w:hAnsi="Arial" w:cs="Arial"/>
                <w:b/>
                <w:sz w:val="20"/>
                <w:szCs w:val="20"/>
              </w:rPr>
              <w:t>High scenario</w:t>
            </w:r>
          </w:p>
        </w:tc>
      </w:tr>
      <w:tr w:rsidR="00A962D3" w:rsidRPr="00E747C6" w14:paraId="0FFE76DE" w14:textId="77777777" w:rsidTr="007853FF">
        <w:trPr>
          <w:trHeight w:val="300"/>
        </w:trPr>
        <w:tc>
          <w:tcPr>
            <w:tcW w:w="2079" w:type="dxa"/>
            <w:noWrap/>
            <w:hideMark/>
          </w:tcPr>
          <w:p w14:paraId="1AA3B032" w14:textId="77777777" w:rsidR="00A962D3" w:rsidRPr="00BB5B55" w:rsidRDefault="00A962D3" w:rsidP="007853FF">
            <w:pPr>
              <w:jc w:val="both"/>
              <w:rPr>
                <w:rFonts w:ascii="Arial" w:hAnsi="Arial" w:cs="Arial"/>
                <w:sz w:val="20"/>
                <w:szCs w:val="20"/>
              </w:rPr>
            </w:pPr>
            <w:r w:rsidRPr="00BB5B55">
              <w:rPr>
                <w:rFonts w:ascii="Arial" w:hAnsi="Arial" w:cs="Arial"/>
                <w:sz w:val="20"/>
                <w:szCs w:val="20"/>
              </w:rPr>
              <w:t>Western Bays</w:t>
            </w:r>
          </w:p>
        </w:tc>
        <w:tc>
          <w:tcPr>
            <w:tcW w:w="2189" w:type="dxa"/>
            <w:noWrap/>
            <w:vAlign w:val="bottom"/>
            <w:hideMark/>
          </w:tcPr>
          <w:p w14:paraId="14AB28B0" w14:textId="654127F9" w:rsidR="00A962D3" w:rsidRPr="00111C81" w:rsidRDefault="00A962D3" w:rsidP="00111C81">
            <w:pPr>
              <w:jc w:val="center"/>
              <w:rPr>
                <w:rFonts w:ascii="Arial" w:eastAsia="Times New Roman" w:hAnsi="Arial" w:cs="Arial"/>
                <w:color w:val="000000"/>
                <w:sz w:val="20"/>
                <w:szCs w:val="20"/>
              </w:rPr>
            </w:pPr>
            <w:r w:rsidRPr="00111C81">
              <w:rPr>
                <w:rFonts w:ascii="Arial" w:eastAsia="Times New Roman" w:hAnsi="Arial"/>
                <w:color w:val="000000"/>
                <w:sz w:val="20"/>
                <w:szCs w:val="20"/>
              </w:rPr>
              <w:t>0.7</w:t>
            </w:r>
          </w:p>
        </w:tc>
        <w:tc>
          <w:tcPr>
            <w:tcW w:w="2189" w:type="dxa"/>
            <w:noWrap/>
            <w:vAlign w:val="bottom"/>
            <w:hideMark/>
          </w:tcPr>
          <w:p w14:paraId="05449619" w14:textId="31B51497" w:rsidR="00A962D3" w:rsidRPr="00A962D3" w:rsidRDefault="00A962D3" w:rsidP="00111C81">
            <w:pPr>
              <w:jc w:val="center"/>
              <w:rPr>
                <w:rFonts w:ascii="Arial" w:eastAsia="Times New Roman" w:hAnsi="Arial" w:cs="Arial"/>
                <w:color w:val="000000"/>
                <w:sz w:val="20"/>
                <w:szCs w:val="20"/>
              </w:rPr>
            </w:pPr>
            <w:r w:rsidRPr="00A962D3">
              <w:rPr>
                <w:rFonts w:ascii="Arial" w:eastAsia="Times New Roman" w:hAnsi="Arial" w:cs="Arial"/>
                <w:color w:val="000000"/>
                <w:sz w:val="20"/>
                <w:szCs w:val="20"/>
              </w:rPr>
              <w:t>2.3</w:t>
            </w:r>
          </w:p>
        </w:tc>
        <w:tc>
          <w:tcPr>
            <w:tcW w:w="2474" w:type="dxa"/>
            <w:noWrap/>
            <w:vAlign w:val="bottom"/>
            <w:hideMark/>
          </w:tcPr>
          <w:p w14:paraId="333EEC5D" w14:textId="3D597DFE" w:rsidR="00A962D3" w:rsidRPr="00111C81" w:rsidRDefault="00A962D3" w:rsidP="00111C81">
            <w:pPr>
              <w:jc w:val="center"/>
              <w:rPr>
                <w:rFonts w:ascii="Arial" w:eastAsia="Times New Roman" w:hAnsi="Arial" w:cs="Arial"/>
                <w:color w:val="000000"/>
                <w:sz w:val="20"/>
                <w:szCs w:val="20"/>
              </w:rPr>
            </w:pPr>
            <w:r w:rsidRPr="00111C81">
              <w:rPr>
                <w:rFonts w:ascii="Arial" w:eastAsia="Times New Roman" w:hAnsi="Arial"/>
                <w:color w:val="000000"/>
                <w:sz w:val="20"/>
                <w:szCs w:val="20"/>
              </w:rPr>
              <w:t>3.9</w:t>
            </w:r>
          </w:p>
        </w:tc>
      </w:tr>
      <w:tr w:rsidR="00A962D3" w:rsidRPr="00E747C6" w14:paraId="522DAD8F" w14:textId="77777777" w:rsidTr="007853FF">
        <w:trPr>
          <w:trHeight w:val="300"/>
        </w:trPr>
        <w:tc>
          <w:tcPr>
            <w:tcW w:w="2079" w:type="dxa"/>
            <w:noWrap/>
            <w:hideMark/>
          </w:tcPr>
          <w:p w14:paraId="3022D646" w14:textId="77777777" w:rsidR="00A962D3" w:rsidRPr="00BB5B55" w:rsidRDefault="00A962D3" w:rsidP="007853FF">
            <w:pPr>
              <w:jc w:val="both"/>
              <w:rPr>
                <w:rFonts w:ascii="Arial" w:hAnsi="Arial" w:cs="Arial"/>
                <w:sz w:val="20"/>
                <w:szCs w:val="20"/>
              </w:rPr>
            </w:pPr>
            <w:r w:rsidRPr="00BB5B55">
              <w:rPr>
                <w:rFonts w:ascii="Arial" w:hAnsi="Arial" w:cs="Arial"/>
                <w:sz w:val="20"/>
                <w:szCs w:val="20"/>
              </w:rPr>
              <w:t>Tamaki Drive</w:t>
            </w:r>
          </w:p>
        </w:tc>
        <w:tc>
          <w:tcPr>
            <w:tcW w:w="2189" w:type="dxa"/>
            <w:noWrap/>
            <w:vAlign w:val="bottom"/>
            <w:hideMark/>
          </w:tcPr>
          <w:p w14:paraId="43831B0A" w14:textId="0B25EDB8" w:rsidR="00A962D3" w:rsidRPr="00111C81" w:rsidRDefault="00A962D3" w:rsidP="00111C81">
            <w:pPr>
              <w:jc w:val="center"/>
              <w:rPr>
                <w:rFonts w:ascii="Arial" w:eastAsia="Times New Roman" w:hAnsi="Arial" w:cs="Arial"/>
                <w:color w:val="000000"/>
                <w:sz w:val="20"/>
                <w:szCs w:val="20"/>
              </w:rPr>
            </w:pPr>
            <w:r w:rsidRPr="00111C81">
              <w:rPr>
                <w:rFonts w:ascii="Arial" w:eastAsia="Times New Roman" w:hAnsi="Arial"/>
                <w:color w:val="000000"/>
                <w:sz w:val="20"/>
                <w:szCs w:val="20"/>
              </w:rPr>
              <w:t>0.3</w:t>
            </w:r>
          </w:p>
        </w:tc>
        <w:tc>
          <w:tcPr>
            <w:tcW w:w="2189" w:type="dxa"/>
            <w:noWrap/>
            <w:vAlign w:val="bottom"/>
            <w:hideMark/>
          </w:tcPr>
          <w:p w14:paraId="17B11FC8" w14:textId="5D6DEBF7" w:rsidR="00A962D3" w:rsidRPr="00A962D3" w:rsidRDefault="00A962D3" w:rsidP="00111C81">
            <w:pPr>
              <w:jc w:val="center"/>
              <w:rPr>
                <w:rFonts w:ascii="Arial" w:eastAsia="Times New Roman" w:hAnsi="Arial" w:cs="Arial"/>
                <w:color w:val="000000"/>
                <w:sz w:val="20"/>
                <w:szCs w:val="20"/>
              </w:rPr>
            </w:pPr>
            <w:r w:rsidRPr="00A962D3">
              <w:rPr>
                <w:rFonts w:ascii="Arial" w:eastAsia="Times New Roman" w:hAnsi="Arial" w:cs="Arial"/>
                <w:color w:val="000000"/>
                <w:sz w:val="20"/>
                <w:szCs w:val="20"/>
              </w:rPr>
              <w:t>1.1</w:t>
            </w:r>
          </w:p>
        </w:tc>
        <w:tc>
          <w:tcPr>
            <w:tcW w:w="2474" w:type="dxa"/>
            <w:noWrap/>
            <w:vAlign w:val="bottom"/>
            <w:hideMark/>
          </w:tcPr>
          <w:p w14:paraId="011D0AA3" w14:textId="33384154" w:rsidR="00A962D3" w:rsidRPr="00111C81" w:rsidRDefault="00A962D3" w:rsidP="00111C81">
            <w:pPr>
              <w:jc w:val="center"/>
              <w:rPr>
                <w:rFonts w:ascii="Arial" w:eastAsia="Times New Roman" w:hAnsi="Arial" w:cs="Arial"/>
                <w:color w:val="000000"/>
                <w:sz w:val="20"/>
                <w:szCs w:val="20"/>
              </w:rPr>
            </w:pPr>
            <w:r w:rsidRPr="00111C81">
              <w:rPr>
                <w:rFonts w:ascii="Arial" w:eastAsia="Times New Roman" w:hAnsi="Arial"/>
                <w:color w:val="000000"/>
                <w:sz w:val="20"/>
                <w:szCs w:val="20"/>
              </w:rPr>
              <w:t>1.8</w:t>
            </w:r>
          </w:p>
        </w:tc>
      </w:tr>
      <w:tr w:rsidR="00A962D3" w:rsidRPr="00E747C6" w14:paraId="09F76A47" w14:textId="77777777" w:rsidTr="007853FF">
        <w:trPr>
          <w:trHeight w:val="300"/>
        </w:trPr>
        <w:tc>
          <w:tcPr>
            <w:tcW w:w="2079" w:type="dxa"/>
            <w:noWrap/>
            <w:hideMark/>
          </w:tcPr>
          <w:p w14:paraId="3D683672" w14:textId="77777777" w:rsidR="00A962D3" w:rsidRPr="00BB5B55" w:rsidRDefault="00A962D3" w:rsidP="007853FF">
            <w:pPr>
              <w:jc w:val="both"/>
              <w:rPr>
                <w:rFonts w:ascii="Arial" w:hAnsi="Arial" w:cs="Arial"/>
                <w:sz w:val="20"/>
                <w:szCs w:val="20"/>
              </w:rPr>
            </w:pPr>
            <w:r w:rsidRPr="00BB5B55">
              <w:rPr>
                <w:rFonts w:ascii="Arial" w:hAnsi="Arial" w:cs="Arial"/>
                <w:sz w:val="20"/>
                <w:szCs w:val="20"/>
              </w:rPr>
              <w:t xml:space="preserve">Botany to </w:t>
            </w:r>
            <w:proofErr w:type="spellStart"/>
            <w:r w:rsidRPr="00BB5B55">
              <w:rPr>
                <w:rFonts w:ascii="Arial" w:hAnsi="Arial" w:cs="Arial"/>
                <w:sz w:val="20"/>
                <w:szCs w:val="20"/>
              </w:rPr>
              <w:t>Manukau</w:t>
            </w:r>
            <w:proofErr w:type="spellEnd"/>
          </w:p>
        </w:tc>
        <w:tc>
          <w:tcPr>
            <w:tcW w:w="2189" w:type="dxa"/>
            <w:noWrap/>
            <w:vAlign w:val="bottom"/>
            <w:hideMark/>
          </w:tcPr>
          <w:p w14:paraId="61FD7D24" w14:textId="75432EB5" w:rsidR="00A962D3" w:rsidRPr="00111C81" w:rsidRDefault="00A962D3" w:rsidP="00111C81">
            <w:pPr>
              <w:jc w:val="center"/>
              <w:rPr>
                <w:rFonts w:ascii="Arial" w:eastAsia="Times New Roman" w:hAnsi="Arial" w:cs="Arial"/>
                <w:color w:val="000000"/>
                <w:sz w:val="20"/>
                <w:szCs w:val="20"/>
              </w:rPr>
            </w:pPr>
            <w:r w:rsidRPr="00111C81">
              <w:rPr>
                <w:rFonts w:ascii="Arial" w:eastAsia="Times New Roman" w:hAnsi="Arial"/>
                <w:color w:val="000000"/>
                <w:sz w:val="20"/>
                <w:szCs w:val="20"/>
              </w:rPr>
              <w:t>0.1</w:t>
            </w:r>
          </w:p>
        </w:tc>
        <w:tc>
          <w:tcPr>
            <w:tcW w:w="2189" w:type="dxa"/>
            <w:noWrap/>
            <w:vAlign w:val="bottom"/>
            <w:hideMark/>
          </w:tcPr>
          <w:p w14:paraId="54B6C417" w14:textId="3BBA891D" w:rsidR="00A962D3" w:rsidRPr="00A962D3" w:rsidRDefault="00A962D3" w:rsidP="00111C81">
            <w:pPr>
              <w:jc w:val="center"/>
              <w:rPr>
                <w:rFonts w:ascii="Arial" w:eastAsia="Times New Roman" w:hAnsi="Arial" w:cs="Arial"/>
                <w:color w:val="000000"/>
                <w:sz w:val="20"/>
                <w:szCs w:val="20"/>
              </w:rPr>
            </w:pPr>
            <w:r w:rsidRPr="00A962D3">
              <w:rPr>
                <w:rFonts w:ascii="Arial" w:eastAsia="Times New Roman" w:hAnsi="Arial" w:cs="Arial"/>
                <w:color w:val="000000"/>
                <w:sz w:val="20"/>
                <w:szCs w:val="20"/>
              </w:rPr>
              <w:t>0.4</w:t>
            </w:r>
          </w:p>
        </w:tc>
        <w:tc>
          <w:tcPr>
            <w:tcW w:w="2474" w:type="dxa"/>
            <w:noWrap/>
            <w:vAlign w:val="bottom"/>
            <w:hideMark/>
          </w:tcPr>
          <w:p w14:paraId="028D836C" w14:textId="544454E4" w:rsidR="00A962D3" w:rsidRPr="00111C81" w:rsidRDefault="00A962D3" w:rsidP="00111C81">
            <w:pPr>
              <w:jc w:val="center"/>
              <w:rPr>
                <w:rFonts w:ascii="Arial" w:eastAsia="Times New Roman" w:hAnsi="Arial" w:cs="Arial"/>
                <w:color w:val="000000"/>
                <w:sz w:val="20"/>
                <w:szCs w:val="20"/>
              </w:rPr>
            </w:pPr>
            <w:r w:rsidRPr="00111C81">
              <w:rPr>
                <w:rFonts w:ascii="Arial" w:eastAsia="Times New Roman" w:hAnsi="Arial"/>
                <w:color w:val="000000"/>
                <w:sz w:val="20"/>
                <w:szCs w:val="20"/>
              </w:rPr>
              <w:t>0.8</w:t>
            </w:r>
          </w:p>
        </w:tc>
      </w:tr>
    </w:tbl>
    <w:p w14:paraId="52567355" w14:textId="30E49FF7" w:rsidR="007753F2" w:rsidRDefault="009E6CB5" w:rsidP="007853FF">
      <w:pPr>
        <w:pStyle w:val="SectionHeadingLevel1"/>
      </w:pPr>
      <w:r>
        <w:t>6. Discussion</w:t>
      </w:r>
    </w:p>
    <w:p w14:paraId="321F76EA" w14:textId="26E9DDDD" w:rsidR="005C58FE" w:rsidRDefault="00C16D59" w:rsidP="007853FF">
      <w:pPr>
        <w:pStyle w:val="BodyA"/>
      </w:pPr>
      <w:r>
        <w:t xml:space="preserve">This paper has sketched a method for undertaking property value impact analysis for the purposes of ex-ante evaluation of rapid transit infrastructure. The method </w:t>
      </w:r>
      <w:proofErr w:type="gramStart"/>
      <w:r>
        <w:t>is designed to be flex</w:t>
      </w:r>
      <w:r w:rsidR="00DC0D26">
        <w:t xml:space="preserve">ibly </w:t>
      </w:r>
      <w:r>
        <w:t>applied</w:t>
      </w:r>
      <w:proofErr w:type="gramEnd"/>
      <w:r>
        <w:t xml:space="preserve"> to a range of different project types across </w:t>
      </w:r>
      <w:r w:rsidR="005C58FE">
        <w:t>various</w:t>
      </w:r>
      <w:r>
        <w:t xml:space="preserve"> urban contexts. </w:t>
      </w:r>
      <w:r w:rsidR="005C58FE">
        <w:t xml:space="preserve">The method makes use of a rapidly growing empirical literature on property value impacts from rapid transit infrastructure and contributes to a much narrower, but also growing range of studies that attempt to apply these findings to ex-ante evaluation of projects. The method follows the broad framework established by these previous studies but </w:t>
      </w:r>
      <w:r w:rsidR="002C42FF">
        <w:t xml:space="preserve">advances </w:t>
      </w:r>
      <w:r w:rsidR="00DC0D26">
        <w:t>it</w:t>
      </w:r>
      <w:r w:rsidR="002C42FF">
        <w:t xml:space="preserve"> by</w:t>
      </w:r>
      <w:r w:rsidR="005C58FE">
        <w:t xml:space="preserve"> using reference class forecasting techniques to systematically select comparator projects for evaluation purposes. </w:t>
      </w:r>
    </w:p>
    <w:p w14:paraId="201BA87D" w14:textId="7DC70CB5" w:rsidR="005C58FE" w:rsidRDefault="005C58FE" w:rsidP="007853FF">
      <w:pPr>
        <w:pStyle w:val="BodyA"/>
      </w:pPr>
      <w:r>
        <w:t xml:space="preserve">There remain various ways in which the method may be further refined and developed. For example, the reference class established remains reasonably small and more reliable forecasts for </w:t>
      </w:r>
      <w:r w:rsidR="002C42FF">
        <w:t>project evaluation</w:t>
      </w:r>
      <w:r>
        <w:t xml:space="preserve"> </w:t>
      </w:r>
      <w:r w:rsidR="00286E8D">
        <w:t>will</w:t>
      </w:r>
      <w:r>
        <w:t xml:space="preserve"> be more firmly established alongside developmen</w:t>
      </w:r>
      <w:r w:rsidR="002C42FF">
        <w:t xml:space="preserve">ts in the empirical literature. There are various details of the methodology that could be further investigated and small changes may have significant impacts on the findings of project evaluation using the method. For example, benefit-cost ratios produced with the method will depend heavily on the level of underlying property values and whether land or property values are used as baseline measures. </w:t>
      </w:r>
    </w:p>
    <w:p w14:paraId="01C62C65" w14:textId="6BC544A7" w:rsidR="00EA79AB" w:rsidRDefault="002C42FF" w:rsidP="007853FF">
      <w:pPr>
        <w:pStyle w:val="BodyA"/>
      </w:pPr>
      <w:r>
        <w:t>While the method remains experimental at this stage, there is considerable promise for the approach as it overcomes well-</w:t>
      </w:r>
      <w:proofErr w:type="spellStart"/>
      <w:r>
        <w:t>recognised</w:t>
      </w:r>
      <w:proofErr w:type="spellEnd"/>
      <w:r>
        <w:t xml:space="preserve"> shortcomings of conventional appraisal methods.</w:t>
      </w:r>
      <w:r w:rsidRPr="002C42FF">
        <w:t xml:space="preserve"> </w:t>
      </w:r>
      <w:r w:rsidR="00286E8D">
        <w:t xml:space="preserve">The tool accounts for a broad range of local amenity, accessibility and wider economic impacts of infrastructure on the basis of real prices paid in property markets as opposed to modelled prices that underpin benefits valued by conventional transport appraisal. </w:t>
      </w:r>
      <w:r>
        <w:t>Property value analysis tools fit within a broader set of emerging techniques for measuring wider economic benefits from transport infrastructure</w:t>
      </w:r>
      <w:r>
        <w:rPr>
          <w:rFonts w:ascii="Arial Unicode MS" w:hAnsi="Arial"/>
        </w:rPr>
        <w:t xml:space="preserve">. </w:t>
      </w:r>
      <w:r>
        <w:t xml:space="preserve">As a </w:t>
      </w:r>
      <w:r>
        <w:rPr>
          <w:rFonts w:ascii="Arial Unicode MS" w:hAnsi="Arial"/>
        </w:rPr>
        <w:t>‘</w:t>
      </w:r>
      <w:r>
        <w:t>micro-scale</w:t>
      </w:r>
      <w:r>
        <w:rPr>
          <w:rFonts w:ascii="Arial Unicode MS" w:hAnsi="Arial"/>
        </w:rPr>
        <w:t>’</w:t>
      </w:r>
      <w:r>
        <w:rPr>
          <w:rFonts w:ascii="Arial Unicode MS" w:hAnsi="Arial"/>
        </w:rPr>
        <w:t xml:space="preserve"> </w:t>
      </w:r>
      <w:r>
        <w:t xml:space="preserve">assessment tool, rather than macro (national scale) or </w:t>
      </w:r>
      <w:proofErr w:type="spellStart"/>
      <w:r>
        <w:t>meso</w:t>
      </w:r>
      <w:proofErr w:type="spellEnd"/>
      <w:r>
        <w:t xml:space="preserve"> (urban regional scale) technique for </w:t>
      </w:r>
      <w:r w:rsidR="00286E8D">
        <w:t>evaluation</w:t>
      </w:r>
      <w:r>
        <w:t xml:space="preserve"> (Banister and </w:t>
      </w:r>
      <w:proofErr w:type="spellStart"/>
      <w:r>
        <w:t>Thurstain</w:t>
      </w:r>
      <w:proofErr w:type="spellEnd"/>
      <w:r>
        <w:t xml:space="preserve">-Goodwin, 2011), it may be particularly well-suited </w:t>
      </w:r>
      <w:r w:rsidR="00286E8D">
        <w:t xml:space="preserve">to rapid transit projects, which have benefits that tend to be more spatially concentrated around infrastructure than those arising from road-based transport projects. </w:t>
      </w:r>
    </w:p>
    <w:p w14:paraId="1523D396" w14:textId="6D5D3E29" w:rsidR="001419D4" w:rsidRDefault="00DC0D26" w:rsidP="007853FF">
      <w:pPr>
        <w:pStyle w:val="BodyA"/>
      </w:pPr>
      <w:r>
        <w:t>However, as the assessment tool operates at the micro-scale, there are uncertainties about the extent to which benefits measured can be considered net benefits</w:t>
      </w:r>
      <w:r w:rsidR="0034099A">
        <w:t xml:space="preserve"> to society</w:t>
      </w:r>
      <w:r>
        <w:t xml:space="preserve">, or </w:t>
      </w:r>
      <w:r w:rsidR="0034099A">
        <w:t xml:space="preserve">spatial </w:t>
      </w:r>
      <w:r>
        <w:t xml:space="preserve">redistributions of benefits </w:t>
      </w:r>
      <w:r w:rsidR="0034099A">
        <w:t>toward</w:t>
      </w:r>
      <w:r>
        <w:t xml:space="preserve"> urban locations</w:t>
      </w:r>
      <w:r w:rsidR="0034099A">
        <w:t xml:space="preserve"> served by the new infrastructure</w:t>
      </w:r>
      <w:r>
        <w:t>.</w:t>
      </w:r>
      <w:r w:rsidR="00EA79AB">
        <w:t xml:space="preserve"> The method lends support to projects that serve urban areas with high underlying property values, with risks that this could </w:t>
      </w:r>
      <w:proofErr w:type="spellStart"/>
      <w:r w:rsidR="00EA79AB">
        <w:t>favour</w:t>
      </w:r>
      <w:proofErr w:type="spellEnd"/>
      <w:r w:rsidR="00531DE8">
        <w:t xml:space="preserve"> </w:t>
      </w:r>
      <w:r w:rsidR="00EA79AB">
        <w:t>investment in locations</w:t>
      </w:r>
      <w:r w:rsidR="00531DE8">
        <w:t xml:space="preserve"> occupied by relatively high-</w:t>
      </w:r>
      <w:r w:rsidR="00EA79AB">
        <w:t xml:space="preserve">income residents or in areas that already benefit from </w:t>
      </w:r>
      <w:r w:rsidR="00531DE8">
        <w:t>relatively good transport</w:t>
      </w:r>
      <w:r w:rsidR="00EA79AB">
        <w:t xml:space="preserve"> infrastructure</w:t>
      </w:r>
      <w:r w:rsidR="00DB2D80">
        <w:t xml:space="preserve">, while not </w:t>
      </w:r>
      <w:proofErr w:type="spellStart"/>
      <w:r w:rsidR="00DB2D80">
        <w:t>recog</w:t>
      </w:r>
      <w:bookmarkStart w:id="5" w:name="_GoBack"/>
      <w:bookmarkEnd w:id="5"/>
      <w:r w:rsidR="00DB2D80">
        <w:t>nising</w:t>
      </w:r>
      <w:proofErr w:type="spellEnd"/>
      <w:r w:rsidR="00DB2D80">
        <w:t xml:space="preserve"> the benefits of more transformational projects</w:t>
      </w:r>
      <w:r w:rsidR="00EA79AB">
        <w:t xml:space="preserve">. </w:t>
      </w:r>
      <w:r w:rsidR="00286E8D">
        <w:t>There</w:t>
      </w:r>
      <w:r>
        <w:t xml:space="preserve"> </w:t>
      </w:r>
      <w:r w:rsidR="00AD1019">
        <w:t xml:space="preserve">also </w:t>
      </w:r>
      <w:r w:rsidR="00286E8D">
        <w:t>remain questions about how the method may s</w:t>
      </w:r>
      <w:r w:rsidR="00B87265">
        <w:t xml:space="preserve">it alongside existing appraisal. At this stage, the method remains experimental and should not be used alone for project assessment. It may however, </w:t>
      </w:r>
      <w:r w:rsidR="00EA53A0">
        <w:t>valuably</w:t>
      </w:r>
      <w:r w:rsidR="00B87265">
        <w:t xml:space="preserve"> </w:t>
      </w:r>
      <w:r w:rsidR="00EA53A0">
        <w:t xml:space="preserve">complement </w:t>
      </w:r>
      <w:r w:rsidR="00B87265">
        <w:t>other project evaluation methods.</w:t>
      </w:r>
    </w:p>
    <w:p w14:paraId="3E08B2CE" w14:textId="77777777" w:rsidR="001419D4" w:rsidRDefault="001419D4">
      <w:pPr>
        <w:rPr>
          <w:rFonts w:ascii="Arial" w:hAnsi="Arial Unicode MS" w:cs="Arial Unicode MS"/>
          <w:color w:val="000000"/>
          <w:sz w:val="22"/>
          <w:szCs w:val="22"/>
          <w:u w:color="000000"/>
        </w:rPr>
      </w:pPr>
      <w:r>
        <w:br w:type="page"/>
      </w:r>
    </w:p>
    <w:p w14:paraId="4E2BE0DA" w14:textId="79BE5084" w:rsidR="005D2A3B" w:rsidRDefault="005D2A3B" w:rsidP="007853FF">
      <w:pPr>
        <w:pStyle w:val="SectionHeadingLevel1"/>
      </w:pPr>
      <w:r>
        <w:t>References</w:t>
      </w:r>
    </w:p>
    <w:p w14:paraId="045DE1BE" w14:textId="77777777" w:rsidR="005D2A3B" w:rsidRDefault="005D2A3B" w:rsidP="005D2A3B">
      <w:pPr>
        <w:pStyle w:val="BodyA"/>
      </w:pPr>
      <w:r w:rsidRPr="004752C2">
        <w:t xml:space="preserve">Alonso, W </w:t>
      </w:r>
      <w:r>
        <w:t>(1964)</w:t>
      </w:r>
      <w:r w:rsidRPr="004752C2">
        <w:t xml:space="preserve"> </w:t>
      </w:r>
      <w:r>
        <w:rPr>
          <w:i/>
        </w:rPr>
        <w:t>Location and land use:</w:t>
      </w:r>
      <w:r w:rsidRPr="009C4183">
        <w:rPr>
          <w:i/>
        </w:rPr>
        <w:t xml:space="preserve"> Toward a general theory of land rent.</w:t>
      </w:r>
      <w:r w:rsidRPr="004752C2">
        <w:t xml:space="preserve"> Ca</w:t>
      </w:r>
      <w:r>
        <w:t>mbridge, Mass.: Harvard University Press.</w:t>
      </w:r>
    </w:p>
    <w:p w14:paraId="20A9E1A2" w14:textId="77777777" w:rsidR="005D2A3B" w:rsidRDefault="005D2A3B" w:rsidP="005D2A3B">
      <w:pPr>
        <w:pStyle w:val="BodyA"/>
        <w:rPr>
          <w:rFonts w:eastAsia="Times New Roman"/>
        </w:rPr>
      </w:pPr>
      <w:proofErr w:type="gramStart"/>
      <w:r>
        <w:rPr>
          <w:rFonts w:eastAsia="Times New Roman"/>
        </w:rPr>
        <w:t xml:space="preserve">Banister, D &amp; </w:t>
      </w:r>
      <w:proofErr w:type="spellStart"/>
      <w:r>
        <w:rPr>
          <w:rFonts w:eastAsia="Times New Roman"/>
        </w:rPr>
        <w:t>Berechman</w:t>
      </w:r>
      <w:proofErr w:type="spellEnd"/>
      <w:r>
        <w:rPr>
          <w:rFonts w:eastAsia="Times New Roman"/>
        </w:rPr>
        <w:t xml:space="preserve">, Y (2001) </w:t>
      </w:r>
      <w:r w:rsidRPr="00261016">
        <w:rPr>
          <w:rFonts w:eastAsia="Times New Roman"/>
        </w:rPr>
        <w:t>Transport investment and the promotion of economic growth.</w:t>
      </w:r>
      <w:proofErr w:type="gramEnd"/>
      <w:r w:rsidRPr="00261016">
        <w:rPr>
          <w:rFonts w:eastAsia="Times New Roman"/>
        </w:rPr>
        <w:t xml:space="preserve"> </w:t>
      </w:r>
      <w:proofErr w:type="gramStart"/>
      <w:r>
        <w:rPr>
          <w:rFonts w:eastAsia="Times New Roman"/>
          <w:i/>
        </w:rPr>
        <w:t>Journal of Transport G</w:t>
      </w:r>
      <w:r w:rsidRPr="00261016">
        <w:rPr>
          <w:rFonts w:eastAsia="Times New Roman"/>
          <w:i/>
        </w:rPr>
        <w:t>eography</w:t>
      </w:r>
      <w:r w:rsidRPr="00261016">
        <w:rPr>
          <w:rFonts w:eastAsia="Times New Roman"/>
        </w:rPr>
        <w:t>, 9(3), 209-218.</w:t>
      </w:r>
      <w:proofErr w:type="gramEnd"/>
    </w:p>
    <w:p w14:paraId="3041D2C1" w14:textId="77777777" w:rsidR="005D2A3B" w:rsidRPr="00261016" w:rsidRDefault="005D2A3B" w:rsidP="005D2A3B">
      <w:pPr>
        <w:pStyle w:val="BodyA"/>
        <w:rPr>
          <w:rFonts w:eastAsia="Times New Roman"/>
        </w:rPr>
      </w:pPr>
      <w:r>
        <w:rPr>
          <w:rFonts w:eastAsia="Times New Roman"/>
        </w:rPr>
        <w:t xml:space="preserve">Banister, D, &amp; </w:t>
      </w:r>
      <w:proofErr w:type="spellStart"/>
      <w:r>
        <w:rPr>
          <w:rFonts w:eastAsia="Times New Roman"/>
        </w:rPr>
        <w:t>Thurstain</w:t>
      </w:r>
      <w:proofErr w:type="spellEnd"/>
      <w:r>
        <w:rPr>
          <w:rFonts w:eastAsia="Times New Roman"/>
        </w:rPr>
        <w:t>-Goodwin, M (2011)</w:t>
      </w:r>
      <w:r w:rsidRPr="000029AA">
        <w:rPr>
          <w:rFonts w:eastAsia="Times New Roman"/>
        </w:rPr>
        <w:t xml:space="preserve"> Quantification of the non-transport benefits resulting from rail investment. </w:t>
      </w:r>
      <w:proofErr w:type="gramStart"/>
      <w:r w:rsidRPr="000029AA">
        <w:rPr>
          <w:rFonts w:eastAsia="Times New Roman"/>
          <w:i/>
        </w:rPr>
        <w:t>Journal of Transport Geography</w:t>
      </w:r>
      <w:r w:rsidRPr="000029AA">
        <w:rPr>
          <w:rFonts w:eastAsia="Times New Roman"/>
        </w:rPr>
        <w:t>, 19(2), 212-223.</w:t>
      </w:r>
      <w:proofErr w:type="gramEnd"/>
    </w:p>
    <w:p w14:paraId="683EF3DA" w14:textId="77777777" w:rsidR="005D2A3B" w:rsidRDefault="005D2A3B" w:rsidP="005D2A3B">
      <w:pPr>
        <w:pStyle w:val="BodyA"/>
        <w:rPr>
          <w:rFonts w:eastAsia="Times New Roman"/>
        </w:rPr>
      </w:pPr>
      <w:r>
        <w:rPr>
          <w:rFonts w:eastAsia="Times New Roman"/>
        </w:rPr>
        <w:t xml:space="preserve">Canadian Urban Institute (2010) </w:t>
      </w:r>
      <w:r w:rsidRPr="009443AB">
        <w:rPr>
          <w:rFonts w:eastAsia="Times New Roman"/>
          <w:i/>
        </w:rPr>
        <w:t>Hamilton B-Line: Value Uplift and Capture Study</w:t>
      </w:r>
      <w:r>
        <w:rPr>
          <w:rFonts w:eastAsia="Times New Roman"/>
        </w:rPr>
        <w:t>. Toronto: Canadian Urban Institute.</w:t>
      </w:r>
    </w:p>
    <w:p w14:paraId="521DE5CF" w14:textId="6B65065B" w:rsidR="005D2A3B" w:rsidRDefault="005D2A3B" w:rsidP="005D2A3B">
      <w:pPr>
        <w:pStyle w:val="BodyA"/>
        <w:rPr>
          <w:rFonts w:eastAsia="Times New Roman"/>
        </w:rPr>
      </w:pPr>
      <w:proofErr w:type="spellStart"/>
      <w:r>
        <w:rPr>
          <w:rFonts w:eastAsia="Times New Roman"/>
        </w:rPr>
        <w:t>Cervero</w:t>
      </w:r>
      <w:proofErr w:type="spellEnd"/>
      <w:r>
        <w:rPr>
          <w:rFonts w:eastAsia="Times New Roman"/>
        </w:rPr>
        <w:t>, R, &amp; Duncan, M (2002</w:t>
      </w:r>
      <w:r w:rsidR="00487764">
        <w:rPr>
          <w:rFonts w:eastAsia="Times New Roman"/>
        </w:rPr>
        <w:t>a</w:t>
      </w:r>
      <w:r>
        <w:rPr>
          <w:rFonts w:eastAsia="Times New Roman"/>
        </w:rPr>
        <w:t>)</w:t>
      </w:r>
      <w:r w:rsidRPr="009443AB">
        <w:rPr>
          <w:rFonts w:eastAsia="Times New Roman"/>
        </w:rPr>
        <w:t xml:space="preserve"> </w:t>
      </w:r>
      <w:r w:rsidRPr="00487764">
        <w:rPr>
          <w:rFonts w:eastAsia="Times New Roman"/>
          <w:i/>
        </w:rPr>
        <w:t>Land value impacts of rail transit services in Los Angeles County</w:t>
      </w:r>
      <w:r w:rsidRPr="009443AB">
        <w:rPr>
          <w:rFonts w:eastAsia="Times New Roman"/>
        </w:rPr>
        <w:t>. Report prepared for National Association of Realtors Urban Land Institute.</w:t>
      </w:r>
    </w:p>
    <w:p w14:paraId="336EEB4C" w14:textId="127F21AA" w:rsidR="00487764" w:rsidRDefault="00487764" w:rsidP="00487764">
      <w:pPr>
        <w:pStyle w:val="BodyA"/>
        <w:rPr>
          <w:rFonts w:eastAsia="Times New Roman"/>
        </w:rPr>
      </w:pPr>
      <w:proofErr w:type="spellStart"/>
      <w:r>
        <w:rPr>
          <w:rFonts w:eastAsia="Times New Roman"/>
        </w:rPr>
        <w:t>Cervero</w:t>
      </w:r>
      <w:proofErr w:type="spellEnd"/>
      <w:r>
        <w:rPr>
          <w:rFonts w:eastAsia="Times New Roman"/>
        </w:rPr>
        <w:t xml:space="preserve">, R, &amp; Duncan, M </w:t>
      </w:r>
      <w:r w:rsidRPr="00487764">
        <w:rPr>
          <w:rFonts w:eastAsia="Times New Roman"/>
        </w:rPr>
        <w:t>(2002</w:t>
      </w:r>
      <w:r>
        <w:rPr>
          <w:rFonts w:eastAsia="Times New Roman"/>
        </w:rPr>
        <w:t>b)</w:t>
      </w:r>
      <w:r w:rsidRPr="00487764">
        <w:rPr>
          <w:rFonts w:eastAsia="Times New Roman"/>
        </w:rPr>
        <w:t xml:space="preserve"> </w:t>
      </w:r>
      <w:r w:rsidRPr="00487764">
        <w:rPr>
          <w:rFonts w:eastAsia="Times New Roman"/>
          <w:i/>
        </w:rPr>
        <w:t>Land value impacts of rail transit services in San Diego County.</w:t>
      </w:r>
      <w:r w:rsidRPr="00487764">
        <w:rPr>
          <w:rFonts w:eastAsia="Times New Roman"/>
        </w:rPr>
        <w:t xml:space="preserve"> Report prepared for National Association of Realtors Urban Land Institute.</w:t>
      </w:r>
    </w:p>
    <w:p w14:paraId="15DCEBF8" w14:textId="323B273D" w:rsidR="00487764" w:rsidRPr="00487764" w:rsidRDefault="00487764" w:rsidP="00487764">
      <w:pPr>
        <w:pStyle w:val="BodyA"/>
        <w:rPr>
          <w:rFonts w:eastAsia="Times New Roman"/>
        </w:rPr>
      </w:pPr>
      <w:proofErr w:type="spellStart"/>
      <w:r w:rsidRPr="00487764">
        <w:rPr>
          <w:rFonts w:eastAsia="Times New Roman"/>
        </w:rPr>
        <w:t>C</w:t>
      </w:r>
      <w:r>
        <w:rPr>
          <w:rFonts w:eastAsia="Times New Roman"/>
        </w:rPr>
        <w:t>ervero</w:t>
      </w:r>
      <w:proofErr w:type="spellEnd"/>
      <w:r>
        <w:rPr>
          <w:rFonts w:eastAsia="Times New Roman"/>
        </w:rPr>
        <w:t>, R, &amp; Duncan, M (2002c)</w:t>
      </w:r>
      <w:r w:rsidRPr="00487764">
        <w:rPr>
          <w:rFonts w:eastAsia="Times New Roman"/>
        </w:rPr>
        <w:t xml:space="preserve"> Benefits of proximity to rail on housing markets: Experiences in Santa Clara County. </w:t>
      </w:r>
      <w:proofErr w:type="gramStart"/>
      <w:r w:rsidRPr="00487764">
        <w:rPr>
          <w:rFonts w:eastAsia="Times New Roman"/>
          <w:i/>
        </w:rPr>
        <w:t>Journal of Public Transportation</w:t>
      </w:r>
      <w:r w:rsidRPr="00487764">
        <w:rPr>
          <w:rFonts w:eastAsia="Times New Roman"/>
        </w:rPr>
        <w:t>, 5(1).</w:t>
      </w:r>
      <w:proofErr w:type="gramEnd"/>
    </w:p>
    <w:p w14:paraId="6531AF54" w14:textId="77777777" w:rsidR="005D2A3B" w:rsidRDefault="005D2A3B" w:rsidP="005D2A3B">
      <w:pPr>
        <w:pStyle w:val="BodyA"/>
        <w:rPr>
          <w:rFonts w:eastAsia="Times New Roman"/>
        </w:rPr>
      </w:pPr>
      <w:r>
        <w:rPr>
          <w:rFonts w:eastAsia="Times New Roman"/>
        </w:rPr>
        <w:t xml:space="preserve">Chatman, D G, &amp; Noland, R B (2014) Transit Service, Physical Agglomeration and Productivity in US Metropolitan Areas. </w:t>
      </w:r>
      <w:proofErr w:type="gramStart"/>
      <w:r>
        <w:rPr>
          <w:rFonts w:eastAsia="Times New Roman"/>
          <w:i/>
          <w:iCs/>
        </w:rPr>
        <w:t>Urban Studies</w:t>
      </w:r>
      <w:r>
        <w:rPr>
          <w:rFonts w:eastAsia="Times New Roman"/>
        </w:rPr>
        <w:t xml:space="preserve">, </w:t>
      </w:r>
      <w:r w:rsidRPr="009C4183">
        <w:rPr>
          <w:rFonts w:eastAsia="Times New Roman"/>
          <w:iCs/>
        </w:rPr>
        <w:t>51</w:t>
      </w:r>
      <w:r w:rsidRPr="009C4183">
        <w:rPr>
          <w:rFonts w:eastAsia="Times New Roman"/>
        </w:rPr>
        <w:t>(5),</w:t>
      </w:r>
      <w:r>
        <w:rPr>
          <w:rFonts w:eastAsia="Times New Roman"/>
        </w:rPr>
        <w:t xml:space="preserve"> 917-937.</w:t>
      </w:r>
      <w:proofErr w:type="gramEnd"/>
    </w:p>
    <w:p w14:paraId="33DD55FC" w14:textId="368A6D5B" w:rsidR="00063CFB" w:rsidRDefault="00063CFB" w:rsidP="00063CFB">
      <w:pPr>
        <w:pStyle w:val="BodyA"/>
        <w:rPr>
          <w:rFonts w:eastAsia="Times New Roman"/>
        </w:rPr>
      </w:pPr>
      <w:r>
        <w:rPr>
          <w:rFonts w:eastAsia="Times New Roman"/>
        </w:rPr>
        <w:t xml:space="preserve">Chen, H, </w:t>
      </w:r>
      <w:proofErr w:type="spellStart"/>
      <w:r>
        <w:rPr>
          <w:rFonts w:eastAsia="Times New Roman"/>
        </w:rPr>
        <w:t>Rufolo</w:t>
      </w:r>
      <w:proofErr w:type="spellEnd"/>
      <w:r>
        <w:rPr>
          <w:rFonts w:eastAsia="Times New Roman"/>
        </w:rPr>
        <w:t xml:space="preserve">, A, &amp; </w:t>
      </w:r>
      <w:proofErr w:type="spellStart"/>
      <w:r>
        <w:rPr>
          <w:rFonts w:eastAsia="Times New Roman"/>
        </w:rPr>
        <w:t>Dueker</w:t>
      </w:r>
      <w:proofErr w:type="spellEnd"/>
      <w:r>
        <w:rPr>
          <w:rFonts w:eastAsia="Times New Roman"/>
        </w:rPr>
        <w:t>, K J (1997)</w:t>
      </w:r>
      <w:r w:rsidRPr="00063CFB">
        <w:rPr>
          <w:rFonts w:eastAsia="Times New Roman"/>
        </w:rPr>
        <w:t xml:space="preserve"> </w:t>
      </w:r>
      <w:proofErr w:type="gramStart"/>
      <w:r w:rsidRPr="00063CFB">
        <w:rPr>
          <w:rFonts w:eastAsia="Times New Roman"/>
          <w:i/>
        </w:rPr>
        <w:t>Measuring</w:t>
      </w:r>
      <w:proofErr w:type="gramEnd"/>
      <w:r w:rsidRPr="00063CFB">
        <w:rPr>
          <w:rFonts w:eastAsia="Times New Roman"/>
          <w:i/>
        </w:rPr>
        <w:t xml:space="preserve"> the impact of light rail systems on single family home values: a hedonic approach with GIS application.</w:t>
      </w:r>
      <w:r w:rsidRPr="00063CFB">
        <w:rPr>
          <w:rFonts w:eastAsia="Times New Roman"/>
        </w:rPr>
        <w:t xml:space="preserve"> </w:t>
      </w:r>
      <w:proofErr w:type="gramStart"/>
      <w:r w:rsidRPr="00063CFB">
        <w:rPr>
          <w:rFonts w:eastAsia="Times New Roman"/>
        </w:rPr>
        <w:t>Center for Urban Studies College of Urban and Public Aff</w:t>
      </w:r>
      <w:r>
        <w:rPr>
          <w:rFonts w:eastAsia="Times New Roman"/>
        </w:rPr>
        <w:t>airs Portland State University.</w:t>
      </w:r>
      <w:proofErr w:type="gramEnd"/>
    </w:p>
    <w:p w14:paraId="75F51414" w14:textId="00B178AB" w:rsidR="00487764" w:rsidRPr="00487764" w:rsidRDefault="00487764" w:rsidP="00487764">
      <w:pPr>
        <w:pStyle w:val="BodyA"/>
        <w:rPr>
          <w:rFonts w:eastAsia="Times New Roman"/>
        </w:rPr>
      </w:pPr>
      <w:proofErr w:type="spellStart"/>
      <w:r>
        <w:rPr>
          <w:rFonts w:eastAsia="Times New Roman"/>
        </w:rPr>
        <w:t>Clower</w:t>
      </w:r>
      <w:proofErr w:type="spellEnd"/>
      <w:r>
        <w:rPr>
          <w:rFonts w:eastAsia="Times New Roman"/>
        </w:rPr>
        <w:t>, T L, &amp; Weinstein, B L (2002)</w:t>
      </w:r>
      <w:r w:rsidRPr="00487764">
        <w:rPr>
          <w:rFonts w:eastAsia="Times New Roman"/>
        </w:rPr>
        <w:t xml:space="preserve"> </w:t>
      </w:r>
      <w:r>
        <w:rPr>
          <w:rFonts w:eastAsia="Times New Roman"/>
        </w:rPr>
        <w:t>The Impact of Dallas (Texas) Area Rapid Transit Light Rail on Taxable Property Valuations</w:t>
      </w:r>
      <w:r w:rsidRPr="00487764">
        <w:rPr>
          <w:rFonts w:eastAsia="Times New Roman"/>
        </w:rPr>
        <w:t xml:space="preserve">. </w:t>
      </w:r>
      <w:proofErr w:type="gramStart"/>
      <w:r w:rsidRPr="00487764">
        <w:rPr>
          <w:rFonts w:eastAsia="Times New Roman"/>
          <w:i/>
        </w:rPr>
        <w:t>Australasian Journal of Regional Studies,</w:t>
      </w:r>
      <w:r w:rsidRPr="00487764">
        <w:rPr>
          <w:rFonts w:eastAsia="Times New Roman"/>
        </w:rPr>
        <w:t xml:space="preserve"> 8(3), 389.</w:t>
      </w:r>
      <w:proofErr w:type="gramEnd"/>
    </w:p>
    <w:p w14:paraId="3E200587" w14:textId="77777777" w:rsidR="005D2A3B" w:rsidRDefault="005D2A3B" w:rsidP="00063CFB">
      <w:pPr>
        <w:pStyle w:val="BodyA"/>
        <w:rPr>
          <w:rFonts w:eastAsia="Times New Roman"/>
        </w:rPr>
      </w:pPr>
      <w:proofErr w:type="spellStart"/>
      <w:r>
        <w:rPr>
          <w:rFonts w:eastAsia="Times New Roman"/>
        </w:rPr>
        <w:t>Debrezion</w:t>
      </w:r>
      <w:proofErr w:type="spellEnd"/>
      <w:r>
        <w:rPr>
          <w:rFonts w:eastAsia="Times New Roman"/>
        </w:rPr>
        <w:t xml:space="preserve">, G, </w:t>
      </w:r>
      <w:proofErr w:type="spellStart"/>
      <w:r>
        <w:rPr>
          <w:rFonts w:eastAsia="Times New Roman"/>
        </w:rPr>
        <w:t>Pels</w:t>
      </w:r>
      <w:proofErr w:type="spellEnd"/>
      <w:r>
        <w:rPr>
          <w:rFonts w:eastAsia="Times New Roman"/>
        </w:rPr>
        <w:t xml:space="preserve">, E, &amp; </w:t>
      </w:r>
      <w:proofErr w:type="spellStart"/>
      <w:r>
        <w:rPr>
          <w:rFonts w:eastAsia="Times New Roman"/>
        </w:rPr>
        <w:t>Rietveld</w:t>
      </w:r>
      <w:proofErr w:type="spellEnd"/>
      <w:r>
        <w:rPr>
          <w:rFonts w:eastAsia="Times New Roman"/>
        </w:rPr>
        <w:t>, P (2007)</w:t>
      </w:r>
      <w:r w:rsidRPr="009443AB">
        <w:rPr>
          <w:rFonts w:eastAsia="Times New Roman"/>
        </w:rPr>
        <w:t xml:space="preserve"> </w:t>
      </w:r>
      <w:proofErr w:type="gramStart"/>
      <w:r w:rsidRPr="009443AB">
        <w:rPr>
          <w:rFonts w:eastAsia="Times New Roman"/>
        </w:rPr>
        <w:t>The</w:t>
      </w:r>
      <w:proofErr w:type="gramEnd"/>
      <w:r w:rsidRPr="009443AB">
        <w:rPr>
          <w:rFonts w:eastAsia="Times New Roman"/>
        </w:rPr>
        <w:t xml:space="preserve"> impact of railway stations on residential and commercial property value: a meta-analysis. </w:t>
      </w:r>
      <w:proofErr w:type="gramStart"/>
      <w:r w:rsidRPr="009443AB">
        <w:rPr>
          <w:rFonts w:eastAsia="Times New Roman"/>
          <w:i/>
        </w:rPr>
        <w:t>The Journal of Real Estate Finance and Economics</w:t>
      </w:r>
      <w:r w:rsidRPr="009443AB">
        <w:rPr>
          <w:rFonts w:eastAsia="Times New Roman"/>
        </w:rPr>
        <w:t>, 35(2), 161-180.</w:t>
      </w:r>
      <w:proofErr w:type="gramEnd"/>
    </w:p>
    <w:p w14:paraId="3F1E2367" w14:textId="2251012B" w:rsidR="002F5508" w:rsidRDefault="002F5508" w:rsidP="00063CFB">
      <w:pPr>
        <w:pStyle w:val="BodyA"/>
        <w:rPr>
          <w:rFonts w:eastAsia="Times New Roman"/>
        </w:rPr>
      </w:pPr>
      <w:r>
        <w:rPr>
          <w:rFonts w:eastAsia="Times New Roman"/>
        </w:rPr>
        <w:t>Donovan, S (2011)</w:t>
      </w:r>
      <w:r w:rsidRPr="002F5508">
        <w:rPr>
          <w:rFonts w:eastAsia="Times New Roman"/>
        </w:rPr>
        <w:t xml:space="preserve"> </w:t>
      </w:r>
      <w:r w:rsidRPr="002F5508">
        <w:rPr>
          <w:rFonts w:eastAsia="Times New Roman"/>
          <w:i/>
        </w:rPr>
        <w:t>Space Matters: Agglomeration Economies and Spatial Competition in New Zealand.</w:t>
      </w:r>
      <w:r w:rsidRPr="002F5508">
        <w:rPr>
          <w:rFonts w:eastAsia="Times New Roman"/>
        </w:rPr>
        <w:t xml:space="preserve"> Amsterdam: VU University (Unpublished master</w:t>
      </w:r>
      <w:r w:rsidRPr="002F5508">
        <w:rPr>
          <w:rFonts w:eastAsia="Times New Roman"/>
        </w:rPr>
        <w:t>’</w:t>
      </w:r>
      <w:r w:rsidRPr="002F5508">
        <w:rPr>
          <w:rFonts w:eastAsia="Times New Roman"/>
        </w:rPr>
        <w:t>s thesis).</w:t>
      </w:r>
    </w:p>
    <w:p w14:paraId="6D80E7FA" w14:textId="77777777" w:rsidR="005D2A3B" w:rsidRPr="009443AB" w:rsidRDefault="005D2A3B" w:rsidP="00063CFB">
      <w:pPr>
        <w:pStyle w:val="BodyA"/>
        <w:rPr>
          <w:rFonts w:eastAsia="Times New Roman"/>
        </w:rPr>
      </w:pPr>
      <w:proofErr w:type="spellStart"/>
      <w:r>
        <w:rPr>
          <w:rFonts w:eastAsia="Times New Roman"/>
        </w:rPr>
        <w:t>Flyvbjerg</w:t>
      </w:r>
      <w:proofErr w:type="spellEnd"/>
      <w:r>
        <w:rPr>
          <w:rFonts w:eastAsia="Times New Roman"/>
        </w:rPr>
        <w:t xml:space="preserve">, B. (2009) Survival of </w:t>
      </w:r>
      <w:proofErr w:type="gramStart"/>
      <w:r>
        <w:rPr>
          <w:rFonts w:eastAsia="Times New Roman"/>
        </w:rPr>
        <w:t xml:space="preserve">the </w:t>
      </w:r>
      <w:proofErr w:type="spellStart"/>
      <w:r w:rsidRPr="009443AB">
        <w:rPr>
          <w:rFonts w:eastAsia="Times New Roman"/>
        </w:rPr>
        <w:t>unfittest</w:t>
      </w:r>
      <w:proofErr w:type="spellEnd"/>
      <w:proofErr w:type="gramEnd"/>
      <w:r w:rsidRPr="009443AB">
        <w:rPr>
          <w:rFonts w:eastAsia="Times New Roman"/>
        </w:rPr>
        <w:t>: why the worst infrastructure gets built</w:t>
      </w:r>
      <w:r w:rsidRPr="009443AB">
        <w:rPr>
          <w:rFonts w:eastAsia="Times New Roman"/>
        </w:rPr>
        <w:t>—</w:t>
      </w:r>
      <w:r w:rsidRPr="009443AB">
        <w:rPr>
          <w:rFonts w:eastAsia="Times New Roman"/>
        </w:rPr>
        <w:t xml:space="preserve">and what we can do about it. </w:t>
      </w:r>
      <w:proofErr w:type="gramStart"/>
      <w:r>
        <w:rPr>
          <w:rFonts w:eastAsia="Times New Roman"/>
          <w:i/>
        </w:rPr>
        <w:t>Oxford Review of Economic P</w:t>
      </w:r>
      <w:r w:rsidRPr="009443AB">
        <w:rPr>
          <w:rFonts w:eastAsia="Times New Roman"/>
          <w:i/>
        </w:rPr>
        <w:t>olicy</w:t>
      </w:r>
      <w:r w:rsidRPr="009443AB">
        <w:rPr>
          <w:rFonts w:eastAsia="Times New Roman"/>
        </w:rPr>
        <w:t>, 25(3), 344-367.</w:t>
      </w:r>
      <w:proofErr w:type="gramEnd"/>
    </w:p>
    <w:p w14:paraId="3FB5709E" w14:textId="033C1AD0" w:rsidR="00063CFB" w:rsidRDefault="00063CFB" w:rsidP="00063CFB">
      <w:pPr>
        <w:pStyle w:val="BodyA"/>
        <w:rPr>
          <w:rFonts w:eastAsia="Times New Roman"/>
        </w:rPr>
      </w:pPr>
      <w:r>
        <w:rPr>
          <w:rFonts w:eastAsia="Times New Roman"/>
        </w:rPr>
        <w:t xml:space="preserve">Goetz, E G, </w:t>
      </w:r>
      <w:proofErr w:type="spellStart"/>
      <w:r>
        <w:rPr>
          <w:rFonts w:eastAsia="Times New Roman"/>
        </w:rPr>
        <w:t>Ko</w:t>
      </w:r>
      <w:proofErr w:type="spellEnd"/>
      <w:r>
        <w:rPr>
          <w:rFonts w:eastAsia="Times New Roman"/>
        </w:rPr>
        <w:t>, K, Hagar, A, Ton, H</w:t>
      </w:r>
      <w:r w:rsidRPr="00063CFB">
        <w:rPr>
          <w:rFonts w:eastAsia="Times New Roman"/>
        </w:rPr>
        <w:t xml:space="preserve">, &amp; </w:t>
      </w:r>
      <w:r>
        <w:rPr>
          <w:rFonts w:eastAsia="Times New Roman"/>
        </w:rPr>
        <w:t>Matson, J (2010)</w:t>
      </w:r>
      <w:r w:rsidRPr="00063CFB">
        <w:rPr>
          <w:rFonts w:eastAsia="Times New Roman"/>
        </w:rPr>
        <w:t xml:space="preserve"> </w:t>
      </w:r>
      <w:r w:rsidRPr="00063CFB">
        <w:rPr>
          <w:rFonts w:eastAsia="Times New Roman"/>
          <w:i/>
        </w:rPr>
        <w:t>The Hiawatha Line: impacts on land use and residential housing value</w:t>
      </w:r>
      <w:r w:rsidRPr="00063CFB">
        <w:rPr>
          <w:rFonts w:eastAsia="Times New Roman"/>
        </w:rPr>
        <w:t xml:space="preserve"> (No. CTS 10-04).</w:t>
      </w:r>
    </w:p>
    <w:p w14:paraId="77127A68" w14:textId="77777777" w:rsidR="005D2A3B" w:rsidRDefault="005D2A3B" w:rsidP="00063CFB">
      <w:pPr>
        <w:pStyle w:val="BodyA"/>
        <w:rPr>
          <w:rFonts w:eastAsia="Times New Roman"/>
        </w:rPr>
      </w:pPr>
      <w:proofErr w:type="spellStart"/>
      <w:proofErr w:type="gramStart"/>
      <w:r>
        <w:rPr>
          <w:rFonts w:eastAsia="Times New Roman"/>
        </w:rPr>
        <w:t>Golub</w:t>
      </w:r>
      <w:proofErr w:type="spellEnd"/>
      <w:r>
        <w:rPr>
          <w:rFonts w:eastAsia="Times New Roman"/>
        </w:rPr>
        <w:t xml:space="preserve">, A, </w:t>
      </w:r>
      <w:proofErr w:type="spellStart"/>
      <w:r>
        <w:rPr>
          <w:rFonts w:eastAsia="Times New Roman"/>
        </w:rPr>
        <w:t>Guhathakurta</w:t>
      </w:r>
      <w:proofErr w:type="spellEnd"/>
      <w:r>
        <w:rPr>
          <w:rFonts w:eastAsia="Times New Roman"/>
        </w:rPr>
        <w:t xml:space="preserve">, S, &amp; </w:t>
      </w:r>
      <w:proofErr w:type="spellStart"/>
      <w:r>
        <w:rPr>
          <w:rFonts w:eastAsia="Times New Roman"/>
        </w:rPr>
        <w:t>Sollapuram</w:t>
      </w:r>
      <w:proofErr w:type="spellEnd"/>
      <w:r>
        <w:rPr>
          <w:rFonts w:eastAsia="Times New Roman"/>
        </w:rPr>
        <w:t>, B (2012)</w:t>
      </w:r>
      <w:r w:rsidRPr="00E47BF2">
        <w:rPr>
          <w:rFonts w:eastAsia="Times New Roman"/>
        </w:rPr>
        <w:t xml:space="preserve"> Spatial and temporal capitalization effects of light rail in phoenix from conception, planning, and construction to operation.</w:t>
      </w:r>
      <w:proofErr w:type="gramEnd"/>
      <w:r w:rsidRPr="00E47BF2">
        <w:rPr>
          <w:rFonts w:eastAsia="Times New Roman"/>
        </w:rPr>
        <w:t xml:space="preserve"> </w:t>
      </w:r>
      <w:proofErr w:type="gramStart"/>
      <w:r w:rsidRPr="00E47BF2">
        <w:rPr>
          <w:rFonts w:eastAsia="Times New Roman"/>
          <w:i/>
        </w:rPr>
        <w:t>Journal of Planning Education and Research</w:t>
      </w:r>
      <w:r w:rsidRPr="00E47BF2">
        <w:rPr>
          <w:rFonts w:eastAsia="Times New Roman"/>
        </w:rPr>
        <w:t>, 32(4), 415-429.</w:t>
      </w:r>
      <w:proofErr w:type="gramEnd"/>
    </w:p>
    <w:p w14:paraId="61B0E3CA" w14:textId="3097F844" w:rsidR="002F5508" w:rsidRPr="002F5508" w:rsidRDefault="002F5508" w:rsidP="00063CFB">
      <w:pPr>
        <w:pStyle w:val="BodyA"/>
        <w:rPr>
          <w:rFonts w:eastAsia="Times New Roman"/>
        </w:rPr>
      </w:pPr>
      <w:r>
        <w:rPr>
          <w:rFonts w:eastAsia="Times New Roman"/>
        </w:rPr>
        <w:t>Grimes, A and Liang, Y</w:t>
      </w:r>
      <w:r w:rsidRPr="002F5508">
        <w:rPr>
          <w:rFonts w:eastAsia="Times New Roman"/>
        </w:rPr>
        <w:t xml:space="preserve"> </w:t>
      </w:r>
      <w:r>
        <w:rPr>
          <w:rFonts w:eastAsia="Times New Roman"/>
        </w:rPr>
        <w:t>(</w:t>
      </w:r>
      <w:r w:rsidRPr="002F5508">
        <w:rPr>
          <w:rFonts w:eastAsia="Times New Roman"/>
        </w:rPr>
        <w:t>2007</w:t>
      </w:r>
      <w:r>
        <w:rPr>
          <w:rFonts w:eastAsia="Times New Roman"/>
        </w:rPr>
        <w:t>)</w:t>
      </w:r>
      <w:r w:rsidRPr="002F5508">
        <w:rPr>
          <w:rFonts w:eastAsia="Times New Roman"/>
        </w:rPr>
        <w:t xml:space="preserve"> </w:t>
      </w:r>
      <w:r w:rsidRPr="002F5508">
        <w:rPr>
          <w:rFonts w:eastAsia="Times New Roman"/>
          <w:i/>
        </w:rPr>
        <w:t>Spatial Determinants of Land Prices in Auckland: Does the metropolitan urban limit have an effect?</w:t>
      </w:r>
      <w:r w:rsidRPr="002F5508">
        <w:rPr>
          <w:rFonts w:eastAsia="Times New Roman"/>
        </w:rPr>
        <w:t xml:space="preserve"> </w:t>
      </w:r>
      <w:proofErr w:type="spellStart"/>
      <w:proofErr w:type="gramStart"/>
      <w:r w:rsidRPr="002F5508">
        <w:rPr>
          <w:rFonts w:eastAsia="Times New Roman"/>
        </w:rPr>
        <w:t>Motu</w:t>
      </w:r>
      <w:proofErr w:type="spellEnd"/>
      <w:r w:rsidRPr="002F5508">
        <w:rPr>
          <w:rFonts w:eastAsia="Times New Roman"/>
        </w:rPr>
        <w:t xml:space="preserve"> Working paper 07-09.</w:t>
      </w:r>
      <w:proofErr w:type="gramEnd"/>
      <w:r w:rsidRPr="002F5508">
        <w:rPr>
          <w:rFonts w:eastAsia="Times New Roman"/>
        </w:rPr>
        <w:t xml:space="preserve"> Wellington: </w:t>
      </w:r>
      <w:proofErr w:type="spellStart"/>
      <w:r w:rsidRPr="002F5508">
        <w:rPr>
          <w:rFonts w:eastAsia="Times New Roman"/>
        </w:rPr>
        <w:t>Motu</w:t>
      </w:r>
      <w:proofErr w:type="spellEnd"/>
      <w:r w:rsidRPr="002F5508">
        <w:rPr>
          <w:rFonts w:eastAsia="Times New Roman"/>
        </w:rPr>
        <w:t xml:space="preserve"> Economic and Public Policy Research.</w:t>
      </w:r>
    </w:p>
    <w:p w14:paraId="1AEECE70" w14:textId="77777777" w:rsidR="005D2A3B" w:rsidRDefault="005D2A3B" w:rsidP="00063CFB">
      <w:pPr>
        <w:pStyle w:val="BodyA"/>
        <w:rPr>
          <w:rFonts w:eastAsia="Times New Roman"/>
        </w:rPr>
      </w:pPr>
      <w:r>
        <w:rPr>
          <w:rFonts w:eastAsia="Times New Roman"/>
        </w:rPr>
        <w:t xml:space="preserve">Grimes, A &amp; Liang, Y (2008) </w:t>
      </w:r>
      <w:r w:rsidRPr="00A536EC">
        <w:rPr>
          <w:rFonts w:eastAsia="Times New Roman"/>
          <w:i/>
        </w:rPr>
        <w:t>Bridge to Somewhere: The Value of Auckland</w:t>
      </w:r>
      <w:r w:rsidRPr="00A536EC">
        <w:rPr>
          <w:rFonts w:eastAsia="Times New Roman"/>
          <w:i/>
        </w:rPr>
        <w:t>’</w:t>
      </w:r>
      <w:r w:rsidRPr="00A536EC">
        <w:rPr>
          <w:rFonts w:eastAsia="Times New Roman"/>
          <w:i/>
        </w:rPr>
        <w:t>s Northern Motorway Extensions</w:t>
      </w:r>
      <w:r>
        <w:rPr>
          <w:rFonts w:eastAsia="Times New Roman"/>
        </w:rPr>
        <w:t xml:space="preserve">. </w:t>
      </w:r>
      <w:proofErr w:type="spellStart"/>
      <w:proofErr w:type="gramStart"/>
      <w:r>
        <w:rPr>
          <w:rFonts w:eastAsia="Times New Roman"/>
        </w:rPr>
        <w:t>Motu</w:t>
      </w:r>
      <w:proofErr w:type="spellEnd"/>
      <w:r>
        <w:rPr>
          <w:rFonts w:eastAsia="Times New Roman"/>
        </w:rPr>
        <w:t xml:space="preserve"> Working Paper 08-07.</w:t>
      </w:r>
      <w:proofErr w:type="gramEnd"/>
      <w:r>
        <w:rPr>
          <w:rFonts w:eastAsia="Times New Roman"/>
        </w:rPr>
        <w:t xml:space="preserve"> Wellington: </w:t>
      </w:r>
      <w:proofErr w:type="spellStart"/>
      <w:r>
        <w:rPr>
          <w:rFonts w:eastAsia="Times New Roman"/>
        </w:rPr>
        <w:t>Motu</w:t>
      </w:r>
      <w:proofErr w:type="spellEnd"/>
      <w:r>
        <w:rPr>
          <w:rFonts w:eastAsia="Times New Roman"/>
        </w:rPr>
        <w:t xml:space="preserve"> Economic and Public Policy Research.</w:t>
      </w:r>
    </w:p>
    <w:p w14:paraId="56724C78" w14:textId="77777777" w:rsidR="005D2A3B" w:rsidRDefault="005D2A3B" w:rsidP="00063CFB">
      <w:pPr>
        <w:pStyle w:val="BodyA"/>
        <w:rPr>
          <w:rFonts w:eastAsia="Times New Roman"/>
        </w:rPr>
      </w:pPr>
      <w:r>
        <w:rPr>
          <w:rFonts w:eastAsia="Times New Roman"/>
        </w:rPr>
        <w:t xml:space="preserve">GVA </w:t>
      </w:r>
      <w:proofErr w:type="spellStart"/>
      <w:r>
        <w:rPr>
          <w:rFonts w:eastAsia="Times New Roman"/>
        </w:rPr>
        <w:t>Grimley</w:t>
      </w:r>
      <w:proofErr w:type="spellEnd"/>
      <w:r>
        <w:rPr>
          <w:rFonts w:eastAsia="Times New Roman"/>
        </w:rPr>
        <w:t xml:space="preserve"> (2004) </w:t>
      </w:r>
      <w:r w:rsidRPr="00261016">
        <w:rPr>
          <w:rFonts w:eastAsia="Times New Roman"/>
          <w:i/>
        </w:rPr>
        <w:t xml:space="preserve">Developing a Methodology to Capture Land Value Uplift Around Transport Facilities. </w:t>
      </w:r>
      <w:r>
        <w:rPr>
          <w:rFonts w:eastAsia="Times New Roman"/>
        </w:rPr>
        <w:t>Edinburgh: Scottish Executive.</w:t>
      </w:r>
    </w:p>
    <w:p w14:paraId="79EC70C1" w14:textId="77777777" w:rsidR="005D2A3B" w:rsidRDefault="005D2A3B" w:rsidP="00063CFB">
      <w:pPr>
        <w:pStyle w:val="BodyA"/>
        <w:rPr>
          <w:rFonts w:eastAsia="Times New Roman"/>
        </w:rPr>
      </w:pPr>
      <w:r>
        <w:rPr>
          <w:rFonts w:eastAsia="Times New Roman"/>
        </w:rPr>
        <w:t xml:space="preserve">GVA </w:t>
      </w:r>
      <w:proofErr w:type="spellStart"/>
      <w:r>
        <w:rPr>
          <w:rFonts w:eastAsia="Times New Roman"/>
        </w:rPr>
        <w:t>Grimley</w:t>
      </w:r>
      <w:proofErr w:type="spellEnd"/>
      <w:r>
        <w:rPr>
          <w:rFonts w:eastAsia="Times New Roman"/>
        </w:rPr>
        <w:t xml:space="preserve"> (2012) </w:t>
      </w:r>
      <w:proofErr w:type="spellStart"/>
      <w:r w:rsidRPr="00A536EC">
        <w:rPr>
          <w:rFonts w:eastAsia="Times New Roman"/>
          <w:i/>
        </w:rPr>
        <w:t>Crossrail</w:t>
      </w:r>
      <w:proofErr w:type="spellEnd"/>
      <w:r w:rsidRPr="00A536EC">
        <w:rPr>
          <w:rFonts w:eastAsia="Times New Roman"/>
          <w:i/>
        </w:rPr>
        <w:t xml:space="preserve"> Property Impact Study</w:t>
      </w:r>
      <w:r>
        <w:rPr>
          <w:rFonts w:eastAsia="Times New Roman"/>
        </w:rPr>
        <w:t xml:space="preserve">. London: GVA </w:t>
      </w:r>
      <w:proofErr w:type="spellStart"/>
      <w:r>
        <w:rPr>
          <w:rFonts w:eastAsia="Times New Roman"/>
        </w:rPr>
        <w:t>Grimley</w:t>
      </w:r>
      <w:proofErr w:type="spellEnd"/>
      <w:r>
        <w:rPr>
          <w:rFonts w:eastAsia="Times New Roman"/>
        </w:rPr>
        <w:t>.</w:t>
      </w:r>
    </w:p>
    <w:p w14:paraId="7EAEA228" w14:textId="77777777" w:rsidR="005D2A3B" w:rsidRDefault="005D2A3B" w:rsidP="005D2A3B">
      <w:pPr>
        <w:pStyle w:val="BodyA"/>
      </w:pPr>
      <w:proofErr w:type="spellStart"/>
      <w:r>
        <w:rPr>
          <w:rFonts w:eastAsia="Times New Roman"/>
        </w:rPr>
        <w:lastRenderedPageBreak/>
        <w:t>Hazledine</w:t>
      </w:r>
      <w:proofErr w:type="spellEnd"/>
      <w:r>
        <w:rPr>
          <w:rFonts w:eastAsia="Times New Roman"/>
        </w:rPr>
        <w:t xml:space="preserve">, T, Donovan, S &amp; </w:t>
      </w:r>
      <w:proofErr w:type="spellStart"/>
      <w:r>
        <w:rPr>
          <w:rFonts w:eastAsia="Times New Roman"/>
        </w:rPr>
        <w:t>Bolland</w:t>
      </w:r>
      <w:proofErr w:type="spellEnd"/>
      <w:r>
        <w:rPr>
          <w:rFonts w:eastAsia="Times New Roman"/>
        </w:rPr>
        <w:t xml:space="preserve">, J (2013) </w:t>
      </w:r>
      <w:r w:rsidRPr="005B4487">
        <w:rPr>
          <w:rFonts w:eastAsia="Times New Roman"/>
          <w:i/>
        </w:rPr>
        <w:t>The Contribution of Public Transport to Economic Productivity.</w:t>
      </w:r>
      <w:r>
        <w:rPr>
          <w:rFonts w:eastAsia="Times New Roman"/>
        </w:rPr>
        <w:t xml:space="preserve"> </w:t>
      </w:r>
      <w:proofErr w:type="gramStart"/>
      <w:r w:rsidRPr="005B4487">
        <w:t>NZ Transport Agency research report 514</w:t>
      </w:r>
      <w:r>
        <w:t>.</w:t>
      </w:r>
      <w:proofErr w:type="gramEnd"/>
      <w:r>
        <w:t xml:space="preserve"> Wellington: NZ Transport Agency.</w:t>
      </w:r>
    </w:p>
    <w:p w14:paraId="053B38E5" w14:textId="28A39C21" w:rsidR="005D2A3B" w:rsidRDefault="005D2A3B" w:rsidP="005D2A3B">
      <w:pPr>
        <w:pStyle w:val="BodyA"/>
        <w:rPr>
          <w:rFonts w:eastAsia="Times New Roman"/>
        </w:rPr>
      </w:pPr>
      <w:proofErr w:type="spellStart"/>
      <w:r>
        <w:rPr>
          <w:rFonts w:eastAsia="Times New Roman"/>
        </w:rPr>
        <w:t>Koster</w:t>
      </w:r>
      <w:proofErr w:type="spellEnd"/>
      <w:r>
        <w:rPr>
          <w:rFonts w:eastAsia="Times New Roman"/>
        </w:rPr>
        <w:t xml:space="preserve">, H R (2013) </w:t>
      </w:r>
      <w:r w:rsidRPr="005B4487">
        <w:rPr>
          <w:rFonts w:eastAsia="Times New Roman"/>
          <w:i/>
        </w:rPr>
        <w:t>Rocketing rents: The magnitude and attenuation of agglomeration economies in the commercial property market.</w:t>
      </w:r>
      <w:r>
        <w:rPr>
          <w:rFonts w:eastAsia="Times New Roman"/>
        </w:rPr>
        <w:t xml:space="preserve"> </w:t>
      </w:r>
      <w:proofErr w:type="gramStart"/>
      <w:r>
        <w:rPr>
          <w:rFonts w:eastAsia="Times New Roman"/>
        </w:rPr>
        <w:t>SERC Discussion Paper 125.</w:t>
      </w:r>
      <w:proofErr w:type="gramEnd"/>
      <w:r>
        <w:rPr>
          <w:rFonts w:eastAsia="Times New Roman"/>
        </w:rPr>
        <w:t xml:space="preserve"> London: Spatial Economics and Research Centre, London School of Economics and Political Science.</w:t>
      </w:r>
    </w:p>
    <w:p w14:paraId="51A06E74" w14:textId="2EEDF8C5" w:rsidR="009814E1" w:rsidRPr="005B4487" w:rsidRDefault="00C92D08" w:rsidP="005D2A3B">
      <w:pPr>
        <w:pStyle w:val="BodyA"/>
        <w:rPr>
          <w:rFonts w:eastAsia="Times New Roman"/>
        </w:rPr>
      </w:pPr>
      <w:r>
        <w:rPr>
          <w:rFonts w:eastAsia="Times New Roman"/>
        </w:rPr>
        <w:t xml:space="preserve">Ma, L, Ye, R, &amp; </w:t>
      </w:r>
      <w:proofErr w:type="spellStart"/>
      <w:r>
        <w:rPr>
          <w:rFonts w:eastAsia="Times New Roman"/>
        </w:rPr>
        <w:t>Titheridge</w:t>
      </w:r>
      <w:proofErr w:type="spellEnd"/>
      <w:r>
        <w:rPr>
          <w:rFonts w:eastAsia="Times New Roman"/>
        </w:rPr>
        <w:t>, H (2014)</w:t>
      </w:r>
      <w:r w:rsidR="009814E1" w:rsidRPr="009814E1">
        <w:rPr>
          <w:rFonts w:eastAsia="Times New Roman"/>
        </w:rPr>
        <w:t xml:space="preserve"> Capitalization Effects of Rail Transit and Bus Rapid Transit on Residential Property Values in a Booming Economy: Evidence from Beijing. </w:t>
      </w:r>
      <w:r w:rsidR="009814E1" w:rsidRPr="00C92D08">
        <w:rPr>
          <w:rFonts w:eastAsia="Times New Roman"/>
          <w:i/>
        </w:rPr>
        <w:t>Transportation Research Record: Journal of the Transportation Research Board</w:t>
      </w:r>
      <w:r w:rsidR="009814E1" w:rsidRPr="009814E1">
        <w:rPr>
          <w:rFonts w:eastAsia="Times New Roman"/>
        </w:rPr>
        <w:t>, (2451), 139-148.</w:t>
      </w:r>
    </w:p>
    <w:p w14:paraId="4C024AC2" w14:textId="77777777" w:rsidR="005D2A3B" w:rsidRDefault="005D2A3B" w:rsidP="005D2A3B">
      <w:pPr>
        <w:pStyle w:val="BodyA"/>
      </w:pPr>
      <w:r w:rsidRPr="00261016">
        <w:t>Mack</w:t>
      </w:r>
      <w:r>
        <w:t xml:space="preserve">ie, P &amp; </w:t>
      </w:r>
      <w:proofErr w:type="spellStart"/>
      <w:r>
        <w:t>Worsley</w:t>
      </w:r>
      <w:proofErr w:type="spellEnd"/>
      <w:r>
        <w:t>, T (2013)</w:t>
      </w:r>
      <w:r w:rsidRPr="00261016">
        <w:t xml:space="preserve"> </w:t>
      </w:r>
      <w:r w:rsidRPr="00261016">
        <w:rPr>
          <w:i/>
        </w:rPr>
        <w:t>International comparisons of transport appraisal practice: Overview report.</w:t>
      </w:r>
      <w:r w:rsidRPr="00261016">
        <w:t xml:space="preserve"> </w:t>
      </w:r>
      <w:r>
        <w:t xml:space="preserve">Leeds: </w:t>
      </w:r>
      <w:r w:rsidRPr="00261016">
        <w:t>I</w:t>
      </w:r>
      <w:r>
        <w:t>nstitute for Transport Studies.</w:t>
      </w:r>
    </w:p>
    <w:p w14:paraId="48F1B244" w14:textId="77777777" w:rsidR="005D2A3B" w:rsidRDefault="005D2A3B" w:rsidP="005D2A3B">
      <w:pPr>
        <w:pStyle w:val="BodyA"/>
      </w:pPr>
      <w:r>
        <w:t xml:space="preserve">McCann, P (2001) </w:t>
      </w:r>
      <w:r>
        <w:rPr>
          <w:i/>
        </w:rPr>
        <w:t xml:space="preserve">Urban and Regional Economics. </w:t>
      </w:r>
      <w:r>
        <w:t>Oxford: Oxford University Press.</w:t>
      </w:r>
    </w:p>
    <w:p w14:paraId="7B50C27A" w14:textId="77777777" w:rsidR="005D2A3B" w:rsidRPr="00E47BF2" w:rsidRDefault="005D2A3B" w:rsidP="005D2A3B">
      <w:pPr>
        <w:pStyle w:val="BodyA"/>
      </w:pPr>
      <w:r>
        <w:t xml:space="preserve">Mohammad, S I, Graham, D J, </w:t>
      </w:r>
      <w:proofErr w:type="spellStart"/>
      <w:r>
        <w:t>Melo</w:t>
      </w:r>
      <w:proofErr w:type="spellEnd"/>
      <w:r>
        <w:t>, P C, &amp; Anderson, R J (2013)</w:t>
      </w:r>
      <w:r w:rsidRPr="00E47BF2">
        <w:t xml:space="preserve"> A meta-analysis of the impact of rail projects on land and property values. </w:t>
      </w:r>
      <w:r w:rsidRPr="009443AB">
        <w:rPr>
          <w:i/>
        </w:rPr>
        <w:t>Transportation Research Part A: Policy and Practice</w:t>
      </w:r>
      <w:r w:rsidRPr="00E47BF2">
        <w:t>, 50, 158-170.</w:t>
      </w:r>
    </w:p>
    <w:p w14:paraId="6441B21D" w14:textId="77777777" w:rsidR="005D2A3B" w:rsidRDefault="005D2A3B" w:rsidP="005D2A3B">
      <w:pPr>
        <w:pStyle w:val="BodyA"/>
      </w:pPr>
      <w:proofErr w:type="spellStart"/>
      <w:r>
        <w:t>Muth</w:t>
      </w:r>
      <w:proofErr w:type="spellEnd"/>
      <w:r>
        <w:t xml:space="preserve">, R F (1969) </w:t>
      </w:r>
      <w:r>
        <w:rPr>
          <w:i/>
        </w:rPr>
        <w:t xml:space="preserve">Cities and Housing: The spatial pattern of urban residential land use. </w:t>
      </w:r>
      <w:r>
        <w:t>Chicago: University of Chicago Press.</w:t>
      </w:r>
    </w:p>
    <w:p w14:paraId="1BEC6EB9" w14:textId="77777777" w:rsidR="002F5508" w:rsidRPr="002F5508" w:rsidRDefault="002F5508" w:rsidP="002F5508">
      <w:pPr>
        <w:pStyle w:val="BodyA"/>
        <w:rPr>
          <w:rFonts w:eastAsia="Times New Roman"/>
        </w:rPr>
      </w:pPr>
      <w:r w:rsidRPr="002F5508">
        <w:rPr>
          <w:rFonts w:eastAsia="Times New Roman"/>
        </w:rPr>
        <w:t xml:space="preserve">Nunns, P, </w:t>
      </w:r>
      <w:proofErr w:type="spellStart"/>
      <w:r w:rsidRPr="002F5508">
        <w:rPr>
          <w:rFonts w:eastAsia="Times New Roman"/>
        </w:rPr>
        <w:t>Hitchins</w:t>
      </w:r>
      <w:proofErr w:type="spellEnd"/>
      <w:r w:rsidRPr="002F5508">
        <w:rPr>
          <w:rFonts w:eastAsia="Times New Roman"/>
        </w:rPr>
        <w:t xml:space="preserve">, H, and </w:t>
      </w:r>
      <w:proofErr w:type="spellStart"/>
      <w:r w:rsidRPr="002F5508">
        <w:rPr>
          <w:rFonts w:eastAsia="Times New Roman"/>
        </w:rPr>
        <w:t>Balderston</w:t>
      </w:r>
      <w:proofErr w:type="spellEnd"/>
      <w:r w:rsidRPr="002F5508">
        <w:rPr>
          <w:rFonts w:eastAsia="Times New Roman"/>
        </w:rPr>
        <w:t>, K</w:t>
      </w:r>
      <w:r>
        <w:rPr>
          <w:rFonts w:eastAsia="Times New Roman"/>
        </w:rPr>
        <w:t xml:space="preserve"> (2015)</w:t>
      </w:r>
      <w:r w:rsidRPr="002F5508">
        <w:rPr>
          <w:rFonts w:eastAsia="Times New Roman"/>
        </w:rPr>
        <w:t xml:space="preserve"> </w:t>
      </w:r>
      <w:r w:rsidRPr="002F5508">
        <w:rPr>
          <w:rFonts w:eastAsia="Times New Roman"/>
          <w:i/>
        </w:rPr>
        <w:t xml:space="preserve">The value of land and the value of </w:t>
      </w:r>
      <w:proofErr w:type="spellStart"/>
      <w:r w:rsidRPr="002F5508">
        <w:rPr>
          <w:rFonts w:eastAsia="Times New Roman"/>
          <w:i/>
        </w:rPr>
        <w:t>floorspace</w:t>
      </w:r>
      <w:proofErr w:type="spellEnd"/>
      <w:r w:rsidRPr="002F5508">
        <w:rPr>
          <w:rFonts w:eastAsia="Times New Roman"/>
          <w:i/>
        </w:rPr>
        <w:t>: A hedonic price approach to monitoring Auckland</w:t>
      </w:r>
      <w:r w:rsidRPr="002F5508">
        <w:rPr>
          <w:rFonts w:eastAsia="Times New Roman"/>
          <w:i/>
        </w:rPr>
        <w:t>’</w:t>
      </w:r>
      <w:r w:rsidRPr="002F5508">
        <w:rPr>
          <w:rFonts w:eastAsia="Times New Roman"/>
          <w:i/>
        </w:rPr>
        <w:t>s property market.</w:t>
      </w:r>
      <w:r>
        <w:rPr>
          <w:rFonts w:eastAsia="Times New Roman"/>
        </w:rPr>
        <w:t xml:space="preserve"> </w:t>
      </w:r>
      <w:proofErr w:type="gramStart"/>
      <w:r w:rsidRPr="002F5508">
        <w:rPr>
          <w:rFonts w:eastAsia="Times New Roman"/>
        </w:rPr>
        <w:t>Auckland Council technical report, TR2015/012.</w:t>
      </w:r>
      <w:proofErr w:type="gramEnd"/>
    </w:p>
    <w:p w14:paraId="475ADCAC" w14:textId="77777777" w:rsidR="005D2A3B" w:rsidRDefault="005D2A3B" w:rsidP="005D2A3B">
      <w:pPr>
        <w:pStyle w:val="BodyA"/>
      </w:pPr>
      <w:proofErr w:type="spellStart"/>
      <w:proofErr w:type="gramStart"/>
      <w:r>
        <w:t>Prud'homme</w:t>
      </w:r>
      <w:proofErr w:type="spellEnd"/>
      <w:r>
        <w:t>, R, &amp; Lee, C W (1999)</w:t>
      </w:r>
      <w:r w:rsidRPr="005B4487">
        <w:t xml:space="preserve"> Size, sprawl, speed and the efficiency of cities.</w:t>
      </w:r>
      <w:proofErr w:type="gramEnd"/>
      <w:r w:rsidRPr="005B4487">
        <w:t xml:space="preserve"> </w:t>
      </w:r>
      <w:proofErr w:type="gramStart"/>
      <w:r w:rsidRPr="005B4487">
        <w:rPr>
          <w:i/>
        </w:rPr>
        <w:t>Urban Studies</w:t>
      </w:r>
      <w:r w:rsidRPr="005B4487">
        <w:t>, 36(11), 1849-1858.</w:t>
      </w:r>
      <w:proofErr w:type="gramEnd"/>
    </w:p>
    <w:p w14:paraId="730B607F" w14:textId="1CC63226" w:rsidR="002611A3" w:rsidRPr="00487764" w:rsidRDefault="002611A3" w:rsidP="00487764">
      <w:pPr>
        <w:pStyle w:val="BodyA"/>
      </w:pPr>
      <w:proofErr w:type="spellStart"/>
      <w:r w:rsidRPr="002611A3">
        <w:t>Rewers</w:t>
      </w:r>
      <w:proofErr w:type="spellEnd"/>
      <w:r w:rsidRPr="002611A3">
        <w:t>, J. M. (2010). Identifying the impacts of light rail station location on residential property values in the city of Sacramento (Doctoral dissertation)</w:t>
      </w:r>
      <w:r w:rsidR="00487764">
        <w:t>, University of California, Davis.</w:t>
      </w:r>
    </w:p>
    <w:p w14:paraId="03D0A009" w14:textId="77777777" w:rsidR="005D2A3B" w:rsidRPr="009443AB" w:rsidRDefault="005D2A3B" w:rsidP="005D2A3B">
      <w:pPr>
        <w:pStyle w:val="BodyA"/>
      </w:pPr>
      <w:proofErr w:type="gramStart"/>
      <w:r>
        <w:t xml:space="preserve">Salon, D, &amp; </w:t>
      </w:r>
      <w:proofErr w:type="spellStart"/>
      <w:r>
        <w:t>Shewmake</w:t>
      </w:r>
      <w:proofErr w:type="spellEnd"/>
      <w:r>
        <w:t>, S</w:t>
      </w:r>
      <w:r w:rsidRPr="009443AB">
        <w:t xml:space="preserve"> (2011).</w:t>
      </w:r>
      <w:proofErr w:type="gramEnd"/>
      <w:r w:rsidRPr="009443AB">
        <w:t xml:space="preserve"> Opportunities for value capture to fund public transport: A comprehensive review of the literature with a focus on East Asia. </w:t>
      </w:r>
      <w:r>
        <w:t>Asian Development Bank, Institution for Transportation and Development Policy.</w:t>
      </w:r>
    </w:p>
    <w:p w14:paraId="75981BCF" w14:textId="77777777" w:rsidR="005D2A3B" w:rsidRPr="00A536EC" w:rsidRDefault="005D2A3B" w:rsidP="005D2A3B">
      <w:pPr>
        <w:pStyle w:val="BodyA"/>
        <w:rPr>
          <w:i/>
        </w:rPr>
      </w:pPr>
      <w:r>
        <w:t xml:space="preserve">Siemens AG/ City of Turku (2012) </w:t>
      </w:r>
      <w:r w:rsidRPr="00A536EC">
        <w:rPr>
          <w:i/>
        </w:rPr>
        <w:t xml:space="preserve">Light Rail Impact Study: Complete Analysis. </w:t>
      </w:r>
    </w:p>
    <w:p w14:paraId="676FCA49" w14:textId="77777777" w:rsidR="005D2A3B" w:rsidRDefault="005D2A3B" w:rsidP="005D2A3B">
      <w:pPr>
        <w:pStyle w:val="BodyA"/>
      </w:pPr>
      <w:proofErr w:type="spellStart"/>
      <w:r>
        <w:t>Venables</w:t>
      </w:r>
      <w:proofErr w:type="spellEnd"/>
      <w:r>
        <w:t>, A J (2007)</w:t>
      </w:r>
      <w:r w:rsidRPr="009C4183">
        <w:t xml:space="preserve"> Evaluating urban transport improvements: cost-benefit analysis in the presence of agglomeration and income taxation. </w:t>
      </w:r>
      <w:r w:rsidRPr="009C4183">
        <w:rPr>
          <w:i/>
        </w:rPr>
        <w:t>Journal of transport economics and policy</w:t>
      </w:r>
      <w:r w:rsidRPr="009C4183">
        <w:t>, 173-188.</w:t>
      </w:r>
    </w:p>
    <w:p w14:paraId="46B0368C" w14:textId="482CDE73" w:rsidR="005D2A3B" w:rsidRDefault="005D2A3B" w:rsidP="005D2A3B">
      <w:pPr>
        <w:pStyle w:val="BodyA"/>
      </w:pPr>
      <w:r>
        <w:t xml:space="preserve">Williamson, J, </w:t>
      </w:r>
      <w:proofErr w:type="spellStart"/>
      <w:r>
        <w:t>Philbin</w:t>
      </w:r>
      <w:proofErr w:type="spellEnd"/>
      <w:r>
        <w:t xml:space="preserve">, S &amp; Sanderson, K (2012) </w:t>
      </w:r>
      <w:r w:rsidRPr="0077485E">
        <w:rPr>
          <w:i/>
        </w:rPr>
        <w:t xml:space="preserve">The </w:t>
      </w:r>
      <w:r w:rsidRPr="000029AA">
        <w:rPr>
          <w:i/>
        </w:rPr>
        <w:t>economic and land use impacts</w:t>
      </w:r>
      <w:r w:rsidRPr="0077485E">
        <w:rPr>
          <w:i/>
        </w:rPr>
        <w:t xml:space="preserve"> of </w:t>
      </w:r>
      <w:r w:rsidRPr="000029AA">
        <w:rPr>
          <w:i/>
        </w:rPr>
        <w:t xml:space="preserve">transformational </w:t>
      </w:r>
      <w:r w:rsidRPr="0077485E">
        <w:rPr>
          <w:i/>
        </w:rPr>
        <w:t xml:space="preserve">transport </w:t>
      </w:r>
      <w:r w:rsidRPr="000029AA">
        <w:rPr>
          <w:i/>
        </w:rPr>
        <w:t>investment</w:t>
      </w:r>
      <w:r>
        <w:t xml:space="preserve">. </w:t>
      </w:r>
      <w:proofErr w:type="gramStart"/>
      <w:r>
        <w:t>NZ Transport Agency Research Report 479.</w:t>
      </w:r>
      <w:proofErr w:type="gramEnd"/>
      <w:r>
        <w:t xml:space="preserve"> Wellington: NZ Transport Agency.</w:t>
      </w:r>
    </w:p>
    <w:p w14:paraId="60F38E3D" w14:textId="77777777" w:rsidR="005D2A3B" w:rsidRPr="004752C2" w:rsidRDefault="005D2A3B" w:rsidP="005D2A3B">
      <w:pPr>
        <w:pBdr>
          <w:top w:val="none" w:sz="0" w:space="0" w:color="auto"/>
          <w:left w:val="none" w:sz="0" w:space="0" w:color="auto"/>
          <w:bottom w:val="none" w:sz="0" w:space="0" w:color="auto"/>
          <w:right w:val="none" w:sz="0" w:space="0" w:color="auto"/>
          <w:between w:val="none" w:sz="0" w:space="0" w:color="auto"/>
          <w:bar w:val="none" w:sz="0" w:color="auto"/>
        </w:pBdr>
        <w:rPr>
          <w:rFonts w:ascii="Times" w:eastAsia="Times New Roman" w:hAnsi="Times"/>
          <w:sz w:val="20"/>
          <w:szCs w:val="20"/>
          <w:bdr w:val="none" w:sz="0" w:space="0" w:color="auto"/>
          <w:lang w:val="en-GB"/>
        </w:rPr>
      </w:pPr>
    </w:p>
    <w:p w14:paraId="7AA4950B" w14:textId="77777777" w:rsidR="005D2A3B" w:rsidRDefault="005D2A3B" w:rsidP="005D2A3B"/>
    <w:p w14:paraId="620F7862" w14:textId="7FB497AE" w:rsidR="007753F2" w:rsidRDefault="007753F2" w:rsidP="005D2A3B">
      <w:pPr>
        <w:pStyle w:val="BodyA"/>
      </w:pPr>
    </w:p>
    <w:sectPr w:rsidR="007753F2">
      <w:headerReference w:type="default" r:id="rId12"/>
      <w:footerReference w:type="even" r:id="rId13"/>
      <w:footerReference w:type="default" r:id="rId14"/>
      <w:headerReference w:type="first" r:id="rId15"/>
      <w:footerReference w:type="first" r:id="rId16"/>
      <w:pgSz w:w="11900" w:h="16840"/>
      <w:pgMar w:top="1418" w:right="1418" w:bottom="1418" w:left="1418" w:header="709" w:footer="709"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B566D" w14:textId="77777777" w:rsidR="00194CCC" w:rsidRDefault="00194CCC">
      <w:r>
        <w:separator/>
      </w:r>
    </w:p>
  </w:endnote>
  <w:endnote w:type="continuationSeparator" w:id="0">
    <w:p w14:paraId="66CC1E9C" w14:textId="77777777" w:rsidR="00194CCC" w:rsidRDefault="00194CCC">
      <w:r>
        <w:continuationSeparator/>
      </w:r>
    </w:p>
  </w:endnote>
  <w:endnote w:type="continuationNotice" w:id="1">
    <w:p w14:paraId="5E4D738B" w14:textId="77777777" w:rsidR="00194CCC" w:rsidRDefault="00194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14D88" w14:textId="77777777" w:rsidR="00194CCC" w:rsidRDefault="00194CCC">
    <w:pPr>
      <w:pStyle w:val="Footer"/>
      <w:jc w:val="right"/>
    </w:pPr>
    <w:r>
      <w:fldChar w:fldCharType="begin"/>
    </w:r>
    <w:r>
      <w:instrText xml:space="preserve"> PAGE </w:instrText>
    </w:r>
    <w:r>
      <w:fldChar w:fldCharType="separate"/>
    </w:r>
    <w:r w:rsidR="00EA53A0">
      <w:rPr>
        <w:noProof/>
      </w:rPr>
      <w:t>14</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BE738" w14:textId="77777777" w:rsidR="00194CCC" w:rsidRDefault="00194CCC">
    <w:pPr>
      <w:pStyle w:val="Footer"/>
      <w:jc w:val="right"/>
    </w:pPr>
    <w:r>
      <w:fldChar w:fldCharType="begin"/>
    </w:r>
    <w:r>
      <w:instrText xml:space="preserve"> PAGE </w:instrText>
    </w:r>
    <w:r>
      <w:fldChar w:fldCharType="separate"/>
    </w:r>
    <w:r w:rsidR="00EA53A0">
      <w:rPr>
        <w:noProof/>
      </w:rPr>
      <w:t>13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8734" w14:textId="77777777" w:rsidR="00194CCC" w:rsidRDefault="00194CCC">
    <w:pPr>
      <w:pStyle w:val="Footer"/>
      <w:jc w:val="right"/>
    </w:pPr>
    <w:r>
      <w:fldChar w:fldCharType="begin"/>
    </w:r>
    <w:r>
      <w:instrText xml:space="preserve"> PAGE </w:instrText>
    </w:r>
    <w:r>
      <w:fldChar w:fldCharType="separate"/>
    </w:r>
    <w:r w:rsidR="00EA53A0">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BD641" w14:textId="77777777" w:rsidR="00194CCC" w:rsidRDefault="00194CCC">
      <w:r>
        <w:separator/>
      </w:r>
    </w:p>
  </w:footnote>
  <w:footnote w:type="continuationSeparator" w:id="0">
    <w:p w14:paraId="7DFCE21D" w14:textId="77777777" w:rsidR="00194CCC" w:rsidRDefault="00194CCC">
      <w:r>
        <w:continuationSeparator/>
      </w:r>
    </w:p>
  </w:footnote>
  <w:footnote w:type="continuationNotice" w:id="1">
    <w:p w14:paraId="4DC0426F" w14:textId="77777777" w:rsidR="00194CCC" w:rsidRDefault="00194CCC"/>
  </w:footnote>
  <w:footnote w:id="2">
    <w:p w14:paraId="7B79B946" w14:textId="77777777" w:rsidR="00194CCC" w:rsidRPr="00BB5B55" w:rsidRDefault="00194CCC" w:rsidP="00E56CBD">
      <w:pPr>
        <w:pStyle w:val="FootnoteText"/>
        <w:rPr>
          <w:rFonts w:ascii="Arial" w:hAnsi="Arial"/>
          <w:lang w:val="en-US"/>
        </w:rPr>
      </w:pPr>
      <w:r w:rsidRPr="00BB5B55">
        <w:rPr>
          <w:rStyle w:val="FootnoteReference"/>
          <w:rFonts w:ascii="Arial" w:hAnsi="Arial"/>
        </w:rPr>
        <w:footnoteRef/>
      </w:r>
      <w:r w:rsidRPr="00BB5B55">
        <w:rPr>
          <w:rFonts w:ascii="Arial" w:hAnsi="Arial"/>
        </w:rPr>
        <w:t xml:space="preserve"> </w:t>
      </w:r>
      <w:r w:rsidRPr="00BB5B55">
        <w:rPr>
          <w:rFonts w:ascii="Arial" w:hAnsi="Arial"/>
          <w:lang w:val="en-US"/>
        </w:rPr>
        <w:t>See for example Grimes and Liang (2007), Donovan (2011), and Nunns et al (2015), as well as a range of other hedonic price studies of Auckland property prices.</w:t>
      </w:r>
    </w:p>
  </w:footnote>
  <w:footnote w:id="3">
    <w:p w14:paraId="07C5A440" w14:textId="77777777" w:rsidR="00194CCC" w:rsidRPr="00BB5B55" w:rsidRDefault="00194CCC" w:rsidP="00E56CBD">
      <w:pPr>
        <w:pStyle w:val="FootnoteText"/>
        <w:rPr>
          <w:rFonts w:ascii="Arial" w:hAnsi="Arial"/>
          <w:lang w:val="en-US"/>
        </w:rPr>
      </w:pPr>
      <w:r w:rsidRPr="00F45308">
        <w:rPr>
          <w:rStyle w:val="FootnoteReference"/>
          <w:rFonts w:ascii="Arial" w:hAnsi="Arial"/>
        </w:rPr>
        <w:footnoteRef/>
      </w:r>
      <w:r w:rsidRPr="00F45308">
        <w:rPr>
          <w:rStyle w:val="FootnoteReference"/>
        </w:rPr>
        <w:t xml:space="preserve"> </w:t>
      </w:r>
      <w:r w:rsidRPr="00F45308">
        <w:rPr>
          <w:rFonts w:ascii="Arial" w:hAnsi="Arial"/>
          <w:lang w:val="en-US"/>
        </w:rPr>
        <w:t>We estimate the following ordinary least squares (OLS) regression model on Auckland residential</w:t>
      </w:r>
      <w:r w:rsidRPr="00BB5B55">
        <w:rPr>
          <w:rFonts w:ascii="Arial" w:hAnsi="Arial"/>
          <w:lang w:val="en-US"/>
        </w:rPr>
        <w:t xml:space="preserve"> and business land values:</w:t>
      </w:r>
    </w:p>
    <w:p w14:paraId="443ADB6E" w14:textId="77777777" w:rsidR="00194CCC" w:rsidRPr="00BB5B55" w:rsidRDefault="00194CCC" w:rsidP="00E56CBD">
      <w:pPr>
        <w:pStyle w:val="FootnoteText"/>
        <w:rPr>
          <w:rFonts w:ascii="Arial" w:eastAsiaTheme="minorEastAsia" w:hAnsi="Arial"/>
          <w:lang w:val="en-US"/>
        </w:rPr>
      </w:pPr>
      <m:oMathPara>
        <m:oMath>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LV</m:t>
                      </m:r>
                    </m:e>
                    <m:sub>
                      <m:r>
                        <w:rPr>
                          <w:rFonts w:ascii="Cambria Math" w:hAnsi="Cambria Math"/>
                          <w:lang w:val="en-US"/>
                        </w:rPr>
                        <m:t>i</m:t>
                      </m:r>
                    </m:sub>
                  </m:sSub>
                </m:e>
              </m:d>
            </m:e>
          </m:func>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DCBD</m:t>
                      </m:r>
                    </m:e>
                    <m:sub>
                      <m:r>
                        <w:rPr>
                          <w:rFonts w:ascii="Cambria Math" w:hAnsi="Cambria Math"/>
                          <w:lang w:val="en-US"/>
                        </w:rPr>
                        <m:t>i</m:t>
                      </m:r>
                    </m:sub>
                  </m:sSub>
                </m:e>
              </m:d>
            </m:e>
          </m:func>
          <m: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DCOAST</m:t>
                      </m:r>
                    </m:e>
                    <m:sub>
                      <m:r>
                        <w:rPr>
                          <w:rFonts w:ascii="Cambria Math" w:hAnsi="Cambria Math"/>
                          <w:lang w:val="en-US"/>
                        </w:rPr>
                        <m:t>i</m:t>
                      </m:r>
                    </m:sub>
                  </m:sSub>
                </m:e>
              </m:d>
            </m:e>
          </m:func>
          <m:r>
            <w:rPr>
              <w:rFonts w:ascii="Cambria Math" w:hAnsi="Cambria Math"/>
              <w:lang w:val="en-US"/>
            </w:rPr>
            <m:t>+</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m:t>
              </m:r>
            </m:sub>
          </m:sSub>
        </m:oMath>
      </m:oMathPara>
    </w:p>
    <w:p w14:paraId="2100DCEF" w14:textId="2A6A6020" w:rsidR="00194CCC" w:rsidRPr="00BB5B55" w:rsidRDefault="00194CCC" w:rsidP="00E56CBD">
      <w:pPr>
        <w:pStyle w:val="FootnoteText"/>
        <w:rPr>
          <w:rFonts w:ascii="Arial" w:hAnsi="Arial"/>
          <w:lang w:val="en-US"/>
        </w:rPr>
      </w:pPr>
      <w:r w:rsidRPr="00BB5B55">
        <w:rPr>
          <w:rFonts w:ascii="Arial" w:eastAsiaTheme="minorEastAsia" w:hAnsi="Arial"/>
          <w:lang w:val="en-US"/>
        </w:rPr>
        <w:t>We obtained the following estimates of the model parameters: β</w:t>
      </w:r>
      <w:r w:rsidRPr="00BB5B55">
        <w:rPr>
          <w:rFonts w:ascii="Arial" w:eastAsiaTheme="minorEastAsia" w:hAnsi="Arial"/>
          <w:vertAlign w:val="subscript"/>
          <w:lang w:val="en-US"/>
        </w:rPr>
        <w:t>0</w:t>
      </w:r>
      <w:r w:rsidRPr="00BB5B55">
        <w:rPr>
          <w:rFonts w:ascii="Arial" w:eastAsiaTheme="minorEastAsia" w:hAnsi="Arial"/>
          <w:lang w:val="en-US"/>
        </w:rPr>
        <w:t>=13.255; β</w:t>
      </w:r>
      <w:r w:rsidRPr="00BB5B55">
        <w:rPr>
          <w:rFonts w:ascii="Arial" w:eastAsiaTheme="minorEastAsia" w:hAnsi="Arial"/>
          <w:vertAlign w:val="subscript"/>
          <w:lang w:val="en-US"/>
        </w:rPr>
        <w:t>1</w:t>
      </w:r>
      <w:r w:rsidRPr="00BB5B55">
        <w:rPr>
          <w:rFonts w:ascii="Arial" w:eastAsiaTheme="minorEastAsia" w:hAnsi="Arial"/>
          <w:lang w:val="en-US"/>
        </w:rPr>
        <w:t>=-0.730; β</w:t>
      </w:r>
      <w:r w:rsidRPr="00BB5B55">
        <w:rPr>
          <w:rFonts w:ascii="Arial" w:eastAsiaTheme="minorEastAsia" w:hAnsi="Arial"/>
          <w:vertAlign w:val="subscript"/>
          <w:lang w:val="en-US"/>
        </w:rPr>
        <w:t>2</w:t>
      </w:r>
      <w:r w:rsidRPr="00BB5B55">
        <w:rPr>
          <w:rFonts w:ascii="Arial" w:eastAsiaTheme="minorEastAsia" w:hAnsi="Arial"/>
          <w:lang w:val="en-US"/>
        </w:rPr>
        <w:t>=-0.048. We also estimated a correction factor of 1.024 to use when transforming from logged land values [</w:t>
      </w:r>
      <w:proofErr w:type="spellStart"/>
      <w:proofErr w:type="gramStart"/>
      <w:r w:rsidRPr="00BB5B55">
        <w:rPr>
          <w:rFonts w:ascii="Arial" w:eastAsiaTheme="minorEastAsia" w:hAnsi="Arial"/>
          <w:lang w:val="en-US"/>
        </w:rPr>
        <w:t>ln</w:t>
      </w:r>
      <w:proofErr w:type="spellEnd"/>
      <w:r w:rsidRPr="00BB5B55">
        <w:rPr>
          <w:rFonts w:ascii="Arial" w:eastAsiaTheme="minorEastAsia" w:hAnsi="Arial"/>
          <w:lang w:val="en-US"/>
        </w:rPr>
        <w:t>(</w:t>
      </w:r>
      <w:proofErr w:type="spellStart"/>
      <w:proofErr w:type="gramEnd"/>
      <w:r w:rsidRPr="00BB5B55">
        <w:rPr>
          <w:rFonts w:ascii="Arial" w:eastAsiaTheme="minorEastAsia" w:hAnsi="Arial"/>
          <w:lang w:val="en-US"/>
        </w:rPr>
        <w:t>LV</w:t>
      </w:r>
      <w:r w:rsidRPr="00BB5B55">
        <w:rPr>
          <w:rFonts w:ascii="Arial" w:eastAsiaTheme="minorEastAsia" w:hAnsi="Arial"/>
          <w:vertAlign w:val="subscript"/>
          <w:lang w:val="en-US"/>
        </w:rPr>
        <w:t>i</w:t>
      </w:r>
      <w:proofErr w:type="spellEnd"/>
      <w:r w:rsidRPr="00BB5B55">
        <w:rPr>
          <w:rFonts w:ascii="Arial" w:eastAsiaTheme="minorEastAsia" w:hAnsi="Arial"/>
          <w:lang w:val="en-US"/>
        </w:rPr>
        <w:t>)] to dollar values [</w:t>
      </w:r>
      <w:proofErr w:type="spellStart"/>
      <w:r w:rsidRPr="00BB5B55">
        <w:rPr>
          <w:rFonts w:ascii="Arial" w:eastAsiaTheme="minorEastAsia" w:hAnsi="Arial"/>
          <w:lang w:val="en-US"/>
        </w:rPr>
        <w:t>LV</w:t>
      </w:r>
      <w:r w:rsidRPr="00BB5B55">
        <w:rPr>
          <w:rFonts w:ascii="Arial" w:eastAsiaTheme="minorEastAsia" w:hAnsi="Arial"/>
          <w:vertAlign w:val="subscript"/>
          <w:lang w:val="en-US"/>
        </w:rPr>
        <w:t>i</w:t>
      </w:r>
      <w:proofErr w:type="spellEnd"/>
      <w:r w:rsidRPr="00BB5B55">
        <w:rPr>
          <w:rFonts w:ascii="Arial" w:eastAsiaTheme="minorEastAsia" w:hAnsi="Arial"/>
          <w:lang w:val="en-US"/>
        </w:rPr>
        <w:t xml:space="preserve">]. All coefficients were statistically significant at the 1% level. However, we </w:t>
      </w:r>
      <w:r>
        <w:rPr>
          <w:rFonts w:ascii="Arial" w:eastAsiaTheme="minorEastAsia" w:hAnsi="Arial"/>
          <w:lang w:val="en-US"/>
        </w:rPr>
        <w:t>caution that these results are influenced by</w:t>
      </w:r>
      <w:r w:rsidRPr="00BB5B55">
        <w:rPr>
          <w:rFonts w:ascii="Arial" w:eastAsiaTheme="minorEastAsia" w:hAnsi="Arial"/>
          <w:lang w:val="en-US"/>
        </w:rPr>
        <w:t xml:space="preserve"> the exclusion of a number of other explanatory variables.</w:t>
      </w:r>
    </w:p>
  </w:footnote>
  <w:footnote w:id="4">
    <w:p w14:paraId="466D409B" w14:textId="1F4AE167" w:rsidR="00194CCC" w:rsidRPr="00D37C9B" w:rsidRDefault="00194CCC">
      <w:pPr>
        <w:pStyle w:val="FootnoteText"/>
        <w:rPr>
          <w:lang w:val="en-US"/>
        </w:rPr>
      </w:pPr>
      <w:r>
        <w:rPr>
          <w:rStyle w:val="FootnoteReference"/>
        </w:rPr>
        <w:footnoteRef/>
      </w:r>
      <w:r>
        <w:t xml:space="preserve"> </w:t>
      </w:r>
      <w:r>
        <w:rPr>
          <w:lang w:val="en-US"/>
        </w:rPr>
        <w:t>For example, in area with 100 residents and 100 jobs, we would assume that 50% of land was used for housing and 50% of land was used by businesses. This is an indicative figure only.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84B10" w14:textId="77777777" w:rsidR="00194CCC" w:rsidRDefault="00194CCC">
    <w:pPr>
      <w:pStyle w:val="Headerstyle"/>
    </w:pPr>
    <w:r>
      <w:t>Access, Amenity and Agglomeration: What can we expect from rapid transit projects?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D9344" w14:textId="77777777" w:rsidR="00194CCC" w:rsidRDefault="00194CCC">
    <w:pPr>
      <w:pStyle w:val="Headerstyle"/>
    </w:pPr>
    <w:r>
      <w:t>Australasian Transport Research Forum 2015 Proceedings</w:t>
    </w:r>
  </w:p>
  <w:p w14:paraId="2CC75E49" w14:textId="77777777" w:rsidR="00194CCC" w:rsidRDefault="00194CCC">
    <w:pPr>
      <w:pStyle w:val="Headerstyle"/>
    </w:pPr>
    <w:r>
      <w:t>30 September - 2 October 2015, Sydney, Australia</w:t>
    </w:r>
  </w:p>
  <w:p w14:paraId="7778F467" w14:textId="77777777" w:rsidR="00194CCC" w:rsidRDefault="00194CCC">
    <w:pPr>
      <w:pStyle w:val="Headerstyle"/>
    </w:pPr>
    <w:r>
      <w:t>Publication website: http://www.atrf.info/papers/index.aspx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611"/>
    <w:multiLevelType w:val="multilevel"/>
    <w:tmpl w:val="8A5C8C46"/>
    <w:styleLink w:val="List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
    <w:nsid w:val="042E7D5E"/>
    <w:multiLevelType w:val="multilevel"/>
    <w:tmpl w:val="BEEA9BB0"/>
    <w:styleLink w:val="List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073A70A3"/>
    <w:multiLevelType w:val="hybridMultilevel"/>
    <w:tmpl w:val="C3E2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E7C5A"/>
    <w:multiLevelType w:val="multilevel"/>
    <w:tmpl w:val="DD024F2E"/>
    <w:styleLink w:val="List1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0BB84A20"/>
    <w:multiLevelType w:val="multilevel"/>
    <w:tmpl w:val="F19439C2"/>
    <w:styleLink w:val="List7"/>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5">
    <w:nsid w:val="183725CD"/>
    <w:multiLevelType w:val="multilevel"/>
    <w:tmpl w:val="B7222634"/>
    <w:styleLink w:val="List3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6">
    <w:nsid w:val="19726AE1"/>
    <w:multiLevelType w:val="multilevel"/>
    <w:tmpl w:val="17E40C56"/>
    <w:styleLink w:val="List2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7">
    <w:nsid w:val="1AD76C85"/>
    <w:multiLevelType w:val="multilevel"/>
    <w:tmpl w:val="0BB436B0"/>
    <w:styleLink w:val="List1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1C216494"/>
    <w:multiLevelType w:val="multilevel"/>
    <w:tmpl w:val="B1C682C2"/>
    <w:styleLink w:val="List5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9">
    <w:nsid w:val="1DAF08F5"/>
    <w:multiLevelType w:val="multilevel"/>
    <w:tmpl w:val="8708D1AE"/>
    <w:styleLink w:val="List41"/>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0">
    <w:nsid w:val="330C0755"/>
    <w:multiLevelType w:val="multilevel"/>
    <w:tmpl w:val="F18AC9D8"/>
    <w:styleLink w:val="List0"/>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1">
    <w:nsid w:val="386C4E0B"/>
    <w:multiLevelType w:val="hybridMultilevel"/>
    <w:tmpl w:val="75F6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B16622"/>
    <w:multiLevelType w:val="multilevel"/>
    <w:tmpl w:val="C75C91D4"/>
    <w:styleLink w:val="List1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
    <w:nsid w:val="526F2D92"/>
    <w:multiLevelType w:val="multilevel"/>
    <w:tmpl w:val="C8F28C88"/>
    <w:styleLink w:val="List6"/>
    <w:lvl w:ilvl="0">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4">
    <w:nsid w:val="612050E7"/>
    <w:multiLevelType w:val="multilevel"/>
    <w:tmpl w:val="CDCC8982"/>
    <w:styleLink w:val="List15"/>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
    <w:nsid w:val="673D644E"/>
    <w:multiLevelType w:val="multilevel"/>
    <w:tmpl w:val="C3A07078"/>
    <w:styleLink w:val="List1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69DC7136"/>
    <w:multiLevelType w:val="multilevel"/>
    <w:tmpl w:val="D1286F54"/>
    <w:styleLink w:val="List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7EB36AA7"/>
    <w:multiLevelType w:val="multilevel"/>
    <w:tmpl w:val="9044E462"/>
    <w:styleLink w:val="List1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10"/>
  </w:num>
  <w:num w:numId="2">
    <w:abstractNumId w:val="0"/>
  </w:num>
  <w:num w:numId="3">
    <w:abstractNumId w:val="6"/>
  </w:num>
  <w:num w:numId="4">
    <w:abstractNumId w:val="5"/>
  </w:num>
  <w:num w:numId="5">
    <w:abstractNumId w:val="9"/>
  </w:num>
  <w:num w:numId="6">
    <w:abstractNumId w:val="8"/>
  </w:num>
  <w:num w:numId="7">
    <w:abstractNumId w:val="13"/>
  </w:num>
  <w:num w:numId="8">
    <w:abstractNumId w:val="4"/>
  </w:num>
  <w:num w:numId="9">
    <w:abstractNumId w:val="1"/>
  </w:num>
  <w:num w:numId="10">
    <w:abstractNumId w:val="16"/>
  </w:num>
  <w:num w:numId="11">
    <w:abstractNumId w:val="15"/>
  </w:num>
  <w:num w:numId="12">
    <w:abstractNumId w:val="12"/>
  </w:num>
  <w:num w:numId="13">
    <w:abstractNumId w:val="17"/>
  </w:num>
  <w:num w:numId="14">
    <w:abstractNumId w:val="7"/>
  </w:num>
  <w:num w:numId="15">
    <w:abstractNumId w:val="3"/>
  </w:num>
  <w:num w:numId="16">
    <w:abstractNumId w:val="14"/>
  </w:num>
  <w:num w:numId="17">
    <w:abstractNumId w:val="11"/>
  </w:num>
  <w:num w:numId="1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7753F2"/>
    <w:rsid w:val="000130EB"/>
    <w:rsid w:val="00041C48"/>
    <w:rsid w:val="00063801"/>
    <w:rsid w:val="00063CFB"/>
    <w:rsid w:val="00094FB6"/>
    <w:rsid w:val="000F1182"/>
    <w:rsid w:val="00111C81"/>
    <w:rsid w:val="001419D4"/>
    <w:rsid w:val="00141ECA"/>
    <w:rsid w:val="001536CD"/>
    <w:rsid w:val="00194CCC"/>
    <w:rsid w:val="00196540"/>
    <w:rsid w:val="001D4E4B"/>
    <w:rsid w:val="002024DC"/>
    <w:rsid w:val="00222194"/>
    <w:rsid w:val="002611A3"/>
    <w:rsid w:val="00286E8D"/>
    <w:rsid w:val="00294D46"/>
    <w:rsid w:val="002C33FF"/>
    <w:rsid w:val="002C42FF"/>
    <w:rsid w:val="002F5508"/>
    <w:rsid w:val="002F62CF"/>
    <w:rsid w:val="00300826"/>
    <w:rsid w:val="0031525D"/>
    <w:rsid w:val="0032769B"/>
    <w:rsid w:val="00332AF5"/>
    <w:rsid w:val="003348DC"/>
    <w:rsid w:val="0034099A"/>
    <w:rsid w:val="00380D17"/>
    <w:rsid w:val="00393B3C"/>
    <w:rsid w:val="003B5A7E"/>
    <w:rsid w:val="003D61C4"/>
    <w:rsid w:val="003F09C1"/>
    <w:rsid w:val="0041778D"/>
    <w:rsid w:val="00464D74"/>
    <w:rsid w:val="004752C2"/>
    <w:rsid w:val="00477383"/>
    <w:rsid w:val="00487764"/>
    <w:rsid w:val="004914FA"/>
    <w:rsid w:val="004A348A"/>
    <w:rsid w:val="004B1181"/>
    <w:rsid w:val="00520DC1"/>
    <w:rsid w:val="00531DE8"/>
    <w:rsid w:val="00567B89"/>
    <w:rsid w:val="005746DA"/>
    <w:rsid w:val="005873B0"/>
    <w:rsid w:val="00593671"/>
    <w:rsid w:val="005A18CF"/>
    <w:rsid w:val="005A6B56"/>
    <w:rsid w:val="005B4487"/>
    <w:rsid w:val="005C58FE"/>
    <w:rsid w:val="005D2A3B"/>
    <w:rsid w:val="005E2BA5"/>
    <w:rsid w:val="005F32DA"/>
    <w:rsid w:val="00600560"/>
    <w:rsid w:val="00622556"/>
    <w:rsid w:val="00625B77"/>
    <w:rsid w:val="006571C9"/>
    <w:rsid w:val="006747DE"/>
    <w:rsid w:val="006C139C"/>
    <w:rsid w:val="006C53B2"/>
    <w:rsid w:val="006E60B8"/>
    <w:rsid w:val="00734C61"/>
    <w:rsid w:val="0075727B"/>
    <w:rsid w:val="0077485E"/>
    <w:rsid w:val="007753F2"/>
    <w:rsid w:val="007853FF"/>
    <w:rsid w:val="007C7F43"/>
    <w:rsid w:val="00832528"/>
    <w:rsid w:val="00856953"/>
    <w:rsid w:val="00867CF7"/>
    <w:rsid w:val="00871D19"/>
    <w:rsid w:val="008C4456"/>
    <w:rsid w:val="008F458A"/>
    <w:rsid w:val="00912D4E"/>
    <w:rsid w:val="009233BA"/>
    <w:rsid w:val="00930DB1"/>
    <w:rsid w:val="00971958"/>
    <w:rsid w:val="009814E1"/>
    <w:rsid w:val="009B757F"/>
    <w:rsid w:val="009C4183"/>
    <w:rsid w:val="009E6CB5"/>
    <w:rsid w:val="00A22CD0"/>
    <w:rsid w:val="00A7037A"/>
    <w:rsid w:val="00A962D3"/>
    <w:rsid w:val="00AA2D28"/>
    <w:rsid w:val="00AB7B34"/>
    <w:rsid w:val="00AD1019"/>
    <w:rsid w:val="00B01203"/>
    <w:rsid w:val="00B73678"/>
    <w:rsid w:val="00B87265"/>
    <w:rsid w:val="00BA544B"/>
    <w:rsid w:val="00BB5B55"/>
    <w:rsid w:val="00BD5110"/>
    <w:rsid w:val="00BF039C"/>
    <w:rsid w:val="00BF4AC4"/>
    <w:rsid w:val="00BF4BC2"/>
    <w:rsid w:val="00C16D59"/>
    <w:rsid w:val="00C30643"/>
    <w:rsid w:val="00C3392D"/>
    <w:rsid w:val="00C92D08"/>
    <w:rsid w:val="00CB5F5F"/>
    <w:rsid w:val="00CF3929"/>
    <w:rsid w:val="00D37C9B"/>
    <w:rsid w:val="00D436F9"/>
    <w:rsid w:val="00D83AF6"/>
    <w:rsid w:val="00D91517"/>
    <w:rsid w:val="00D9551A"/>
    <w:rsid w:val="00DB2D80"/>
    <w:rsid w:val="00DB6CFD"/>
    <w:rsid w:val="00DC0D26"/>
    <w:rsid w:val="00DF0A11"/>
    <w:rsid w:val="00DF3386"/>
    <w:rsid w:val="00E0208F"/>
    <w:rsid w:val="00E11126"/>
    <w:rsid w:val="00E37669"/>
    <w:rsid w:val="00E56CBD"/>
    <w:rsid w:val="00E747C6"/>
    <w:rsid w:val="00E80F7D"/>
    <w:rsid w:val="00E92940"/>
    <w:rsid w:val="00EA53A0"/>
    <w:rsid w:val="00EA79AB"/>
    <w:rsid w:val="00EF7A6F"/>
    <w:rsid w:val="00F45308"/>
    <w:rsid w:val="00F8043E"/>
    <w:rsid w:val="00FD30B3"/>
    <w:rsid w:val="00FE41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C44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style">
    <w:name w:val="Header style"/>
    <w:pPr>
      <w:tabs>
        <w:tab w:val="center" w:pos="4513"/>
        <w:tab w:val="right" w:pos="9026"/>
      </w:tabs>
      <w:spacing w:after="140"/>
      <w:jc w:val="center"/>
    </w:pPr>
    <w:rPr>
      <w:rFonts w:ascii="Arial" w:hAnsi="Arial Unicode MS" w:cs="Arial Unicode MS"/>
      <w:color w:val="000000"/>
      <w:u w:color="000000"/>
      <w:lang w:val="en-US"/>
    </w:rPr>
  </w:style>
  <w:style w:type="paragraph" w:styleId="Footer">
    <w:name w:val="footer"/>
    <w:pPr>
      <w:tabs>
        <w:tab w:val="center" w:pos="4513"/>
        <w:tab w:val="right" w:pos="9026"/>
      </w:tabs>
      <w:spacing w:after="140"/>
      <w:jc w:val="both"/>
    </w:pPr>
    <w:rPr>
      <w:rFonts w:ascii="Arial" w:eastAsia="Arial" w:hAnsi="Arial" w:cs="Arial"/>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PublicationTitle">
    <w:name w:val="Publication Title"/>
    <w:next w:val="AuthorName"/>
    <w:pPr>
      <w:spacing w:after="140"/>
      <w:jc w:val="center"/>
    </w:pPr>
    <w:rPr>
      <w:rFonts w:ascii="Arial" w:eastAsia="Arial" w:hAnsi="Arial" w:cs="Arial"/>
      <w:b/>
      <w:bCs/>
      <w:color w:val="000000"/>
      <w:sz w:val="32"/>
      <w:szCs w:val="32"/>
      <w:u w:color="000000"/>
      <w:lang w:val="en-US"/>
    </w:rPr>
  </w:style>
  <w:style w:type="paragraph" w:customStyle="1" w:styleId="AuthorName">
    <w:name w:val="Author Name"/>
    <w:next w:val="AuthorAddress"/>
    <w:pPr>
      <w:spacing w:after="140"/>
      <w:jc w:val="center"/>
    </w:pPr>
    <w:rPr>
      <w:rFonts w:ascii="Arial" w:eastAsia="Arial" w:hAnsi="Arial" w:cs="Arial"/>
      <w:color w:val="000000"/>
      <w:sz w:val="22"/>
      <w:szCs w:val="22"/>
      <w:u w:color="000000"/>
      <w:lang w:val="en-US"/>
    </w:rPr>
  </w:style>
  <w:style w:type="paragraph" w:customStyle="1" w:styleId="AuthorAddress">
    <w:name w:val="Author Address"/>
    <w:pPr>
      <w:spacing w:after="140"/>
      <w:jc w:val="center"/>
    </w:pPr>
    <w:rPr>
      <w:rFonts w:ascii="Arial" w:eastAsia="Arial" w:hAnsi="Arial" w:cs="Arial"/>
      <w:color w:val="000000"/>
      <w:u w:color="000000"/>
      <w:lang w:val="en-US"/>
    </w:rPr>
  </w:style>
  <w:style w:type="paragraph" w:customStyle="1" w:styleId="AbstractTitle">
    <w:name w:val="Abstract Title"/>
    <w:next w:val="BodyA"/>
    <w:pPr>
      <w:spacing w:before="240" w:after="140"/>
      <w:jc w:val="center"/>
    </w:pPr>
    <w:rPr>
      <w:rFonts w:ascii="Arial" w:hAnsi="Arial Unicode MS" w:cs="Arial Unicode MS"/>
      <w:b/>
      <w:bCs/>
      <w:color w:val="000000"/>
      <w:sz w:val="28"/>
      <w:szCs w:val="28"/>
      <w:u w:color="000000"/>
      <w:lang w:val="en-US"/>
    </w:rPr>
  </w:style>
  <w:style w:type="paragraph" w:customStyle="1" w:styleId="BodyA">
    <w:name w:val="Body A"/>
    <w:pPr>
      <w:spacing w:after="140"/>
      <w:jc w:val="both"/>
    </w:pPr>
    <w:rPr>
      <w:rFonts w:ascii="Arial" w:hAnsi="Arial Unicode MS" w:cs="Arial Unicode MS"/>
      <w:color w:val="000000"/>
      <w:sz w:val="22"/>
      <w:szCs w:val="22"/>
      <w:u w:color="000000"/>
      <w:lang w:val="en-US"/>
    </w:rPr>
  </w:style>
  <w:style w:type="paragraph" w:customStyle="1" w:styleId="SectionHeadingLevel1">
    <w:name w:val="Section Heading Level 1"/>
    <w:next w:val="BodyA"/>
    <w:pPr>
      <w:spacing w:before="200" w:after="140"/>
      <w:jc w:val="both"/>
    </w:pPr>
    <w:rPr>
      <w:rFonts w:ascii="Arial" w:hAnsi="Arial Unicode MS" w:cs="Arial Unicode MS"/>
      <w:b/>
      <w:bCs/>
      <w:color w:val="000000"/>
      <w:sz w:val="28"/>
      <w:szCs w:val="28"/>
      <w:u w:color="000000"/>
      <w:lang w:val="en-US"/>
    </w:rPr>
  </w:style>
  <w:style w:type="paragraph" w:customStyle="1" w:styleId="Captionstyle">
    <w:name w:val="Caption style"/>
    <w:pPr>
      <w:spacing w:after="140"/>
      <w:jc w:val="both"/>
    </w:pPr>
    <w:rPr>
      <w:rFonts w:ascii="Arial" w:hAnsi="Arial Unicode MS" w:cs="Arial Unicode MS"/>
      <w:b/>
      <w:bCs/>
      <w:color w:val="000000"/>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paragraph" w:customStyle="1" w:styleId="Default">
    <w:name w:val="Default"/>
    <w:rPr>
      <w:rFonts w:ascii="Helvetica" w:hAnsi="Arial Unicode MS" w:cs="Arial Unicode MS"/>
      <w:color w:val="000000"/>
      <w:sz w:val="22"/>
      <w:szCs w:val="22"/>
      <w:u w:color="000000"/>
      <w:lang w:val="en-US"/>
    </w:rPr>
  </w:style>
  <w:style w:type="paragraph" w:customStyle="1" w:styleId="SectionHeadingLevel2">
    <w:name w:val="Section Heading Level 2"/>
    <w:next w:val="BodyA"/>
    <w:pPr>
      <w:spacing w:before="200" w:after="140"/>
      <w:ind w:left="720" w:hanging="720"/>
      <w:jc w:val="both"/>
    </w:pPr>
    <w:rPr>
      <w:rFonts w:ascii="Arial" w:hAnsi="Arial Unicode MS" w:cs="Arial Unicode MS"/>
      <w:b/>
      <w:bCs/>
      <w:color w:val="000000"/>
      <w:sz w:val="24"/>
      <w:szCs w:val="24"/>
      <w:u w:color="000000"/>
      <w:lang w:val="en-US"/>
    </w:rPr>
  </w:style>
  <w:style w:type="paragraph" w:customStyle="1" w:styleId="BodyB">
    <w:name w:val="Body B"/>
    <w:rPr>
      <w:rFonts w:hAnsi="Arial Unicode MS" w:cs="Arial Unicode MS"/>
      <w:color w:val="000000"/>
      <w:sz w:val="24"/>
      <w:szCs w:val="24"/>
      <w:u w:color="000000"/>
      <w:lang w:val="en-US"/>
    </w:rPr>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paragraph" w:customStyle="1" w:styleId="TableStyle2A">
    <w:name w:val="Table Style 2 A"/>
    <w:rPr>
      <w:rFonts w:ascii="Helvetica" w:hAnsi="Arial Unicode MS" w:cs="Arial Unicode MS"/>
      <w:color w:val="000000"/>
      <w:u w:color="000000"/>
      <w:lang w:val="en-US"/>
    </w:rPr>
  </w:style>
  <w:style w:type="numbering" w:customStyle="1" w:styleId="List7">
    <w:name w:val="List 7"/>
    <w:basedOn w:val="ImportedStyle8"/>
    <w:pPr>
      <w:numPr>
        <w:numId w:val="8"/>
      </w:numPr>
    </w:pPr>
  </w:style>
  <w:style w:type="numbering" w:customStyle="1" w:styleId="ImportedStyle8">
    <w:name w:val="Imported Style 8"/>
  </w:style>
  <w:style w:type="paragraph" w:customStyle="1" w:styleId="TableStyle2">
    <w:name w:val="Table Style 2"/>
    <w:rPr>
      <w:rFonts w:ascii="Helvetica" w:eastAsia="Helvetica" w:hAnsi="Helvetica" w:cs="Helvetica"/>
      <w:color w:val="000000"/>
    </w:rPr>
  </w:style>
  <w:style w:type="paragraph" w:customStyle="1" w:styleId="SectionHeadingLevel3">
    <w:name w:val="Section Heading Level 3"/>
    <w:next w:val="BodyA"/>
    <w:pPr>
      <w:spacing w:before="240" w:after="140"/>
      <w:jc w:val="both"/>
    </w:pPr>
    <w:rPr>
      <w:rFonts w:ascii="Arial" w:hAnsi="Arial Unicode MS" w:cs="Arial Unicode MS"/>
      <w:b/>
      <w:bCs/>
      <w:i/>
      <w:iCs/>
      <w:color w:val="000000"/>
      <w:sz w:val="22"/>
      <w:szCs w:val="22"/>
      <w:u w:color="000000"/>
      <w:lang w:val="en-US"/>
    </w:rPr>
  </w:style>
  <w:style w:type="numbering" w:customStyle="1" w:styleId="List8">
    <w:name w:val="List 8"/>
    <w:basedOn w:val="ImportedStyle12"/>
    <w:pPr>
      <w:numPr>
        <w:numId w:val="9"/>
      </w:numPr>
    </w:pPr>
  </w:style>
  <w:style w:type="numbering" w:customStyle="1" w:styleId="ImportedStyle12">
    <w:name w:val="Imported Style 12"/>
  </w:style>
  <w:style w:type="numbering" w:customStyle="1" w:styleId="List9">
    <w:name w:val="List 9"/>
    <w:basedOn w:val="ImportedStyle13"/>
    <w:pPr>
      <w:numPr>
        <w:numId w:val="10"/>
      </w:numPr>
    </w:pPr>
  </w:style>
  <w:style w:type="numbering" w:customStyle="1" w:styleId="ImportedStyle13">
    <w:name w:val="Imported Style 13"/>
  </w:style>
  <w:style w:type="numbering" w:customStyle="1" w:styleId="List10">
    <w:name w:val="List 10"/>
    <w:basedOn w:val="ImportedStyle14"/>
    <w:pPr>
      <w:numPr>
        <w:numId w:val="11"/>
      </w:numPr>
    </w:pPr>
  </w:style>
  <w:style w:type="numbering" w:customStyle="1" w:styleId="ImportedStyle14">
    <w:name w:val="Imported Style 14"/>
  </w:style>
  <w:style w:type="numbering" w:customStyle="1" w:styleId="List11">
    <w:name w:val="List 11"/>
    <w:basedOn w:val="ImportedStyle15"/>
    <w:pPr>
      <w:numPr>
        <w:numId w:val="12"/>
      </w:numPr>
    </w:pPr>
  </w:style>
  <w:style w:type="numbering" w:customStyle="1" w:styleId="ImportedStyle15">
    <w:name w:val="Imported Style 15"/>
  </w:style>
  <w:style w:type="numbering" w:customStyle="1" w:styleId="List12">
    <w:name w:val="List 12"/>
    <w:basedOn w:val="ImportedStyle16"/>
    <w:pPr>
      <w:numPr>
        <w:numId w:val="13"/>
      </w:numPr>
    </w:pPr>
  </w:style>
  <w:style w:type="numbering" w:customStyle="1" w:styleId="ImportedStyle16">
    <w:name w:val="Imported Style 16"/>
  </w:style>
  <w:style w:type="numbering" w:customStyle="1" w:styleId="List13">
    <w:name w:val="List 13"/>
    <w:basedOn w:val="ImportedStyle17"/>
    <w:pPr>
      <w:numPr>
        <w:numId w:val="14"/>
      </w:numPr>
    </w:pPr>
  </w:style>
  <w:style w:type="numbering" w:customStyle="1" w:styleId="ImportedStyle17">
    <w:name w:val="Imported Style 17"/>
  </w:style>
  <w:style w:type="numbering" w:customStyle="1" w:styleId="List14">
    <w:name w:val="List 14"/>
    <w:basedOn w:val="ImportedStyle18"/>
    <w:pPr>
      <w:numPr>
        <w:numId w:val="15"/>
      </w:numPr>
    </w:pPr>
  </w:style>
  <w:style w:type="numbering" w:customStyle="1" w:styleId="ImportedStyle18">
    <w:name w:val="Imported Style 18"/>
  </w:style>
  <w:style w:type="numbering" w:customStyle="1" w:styleId="List15">
    <w:name w:val="List 15"/>
    <w:basedOn w:val="ImportedStyle19"/>
    <w:pPr>
      <w:numPr>
        <w:numId w:val="16"/>
      </w:numPr>
    </w:pPr>
  </w:style>
  <w:style w:type="numbering" w:customStyle="1" w:styleId="ImportedStyle19">
    <w:name w:val="Imported Style 19"/>
  </w:style>
  <w:style w:type="paragraph" w:styleId="BalloonText">
    <w:name w:val="Balloon Text"/>
    <w:basedOn w:val="Normal"/>
    <w:link w:val="BalloonTextChar"/>
    <w:uiPriority w:val="99"/>
    <w:semiHidden/>
    <w:unhideWhenUsed/>
    <w:rsid w:val="009E6C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CB5"/>
    <w:rPr>
      <w:rFonts w:ascii="Lucida Grande" w:hAnsi="Lucida Grande" w:cs="Lucida Grande"/>
      <w:sz w:val="18"/>
      <w:szCs w:val="18"/>
      <w:lang w:val="en-US"/>
    </w:rPr>
  </w:style>
  <w:style w:type="paragraph" w:styleId="ListParagraph">
    <w:name w:val="List Paragraph"/>
    <w:basedOn w:val="Normal"/>
    <w:uiPriority w:val="34"/>
    <w:qFormat/>
    <w:rsid w:val="00E747C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 w:type="paragraph" w:styleId="FootnoteText">
    <w:name w:val="footnote text"/>
    <w:basedOn w:val="Normal"/>
    <w:link w:val="FootnoteTextChar"/>
    <w:uiPriority w:val="99"/>
    <w:unhideWhenUsed/>
    <w:rsid w:val="00E747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FootnoteTextChar">
    <w:name w:val="Footnote Text Char"/>
    <w:basedOn w:val="DefaultParagraphFont"/>
    <w:link w:val="FootnoteText"/>
    <w:uiPriority w:val="99"/>
    <w:rsid w:val="00E747C6"/>
    <w:rPr>
      <w:rFonts w:asciiTheme="minorHAnsi" w:eastAsiaTheme="minorHAnsi" w:hAnsiTheme="minorHAnsi" w:cstheme="minorBidi"/>
      <w:bdr w:val="none" w:sz="0" w:space="0" w:color="auto"/>
    </w:rPr>
  </w:style>
  <w:style w:type="character" w:styleId="FootnoteReference">
    <w:name w:val="footnote reference"/>
    <w:basedOn w:val="DefaultParagraphFont"/>
    <w:uiPriority w:val="99"/>
    <w:unhideWhenUsed/>
    <w:rsid w:val="00E747C6"/>
    <w:rPr>
      <w:vertAlign w:val="superscript"/>
    </w:rPr>
  </w:style>
  <w:style w:type="paragraph" w:styleId="Caption">
    <w:name w:val="caption"/>
    <w:basedOn w:val="Normal"/>
    <w:next w:val="Normal"/>
    <w:uiPriority w:val="35"/>
    <w:unhideWhenUsed/>
    <w:qFormat/>
    <w:rsid w:val="00E747C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EastAsia" w:hAnsiTheme="minorHAnsi" w:cstheme="minorBidi"/>
      <w:b/>
      <w:bCs/>
      <w:color w:val="499BC9" w:themeColor="accent1"/>
      <w:sz w:val="18"/>
      <w:szCs w:val="18"/>
      <w:bdr w:val="none" w:sz="0" w:space="0" w:color="auto"/>
    </w:rPr>
  </w:style>
  <w:style w:type="table" w:styleId="TableGrid">
    <w:name w:val="Table Grid"/>
    <w:basedOn w:val="TableNormal"/>
    <w:uiPriority w:val="59"/>
    <w:rsid w:val="00E747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550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character" w:styleId="CommentReference">
    <w:name w:val="annotation reference"/>
    <w:basedOn w:val="DefaultParagraphFont"/>
    <w:uiPriority w:val="99"/>
    <w:semiHidden/>
    <w:unhideWhenUsed/>
    <w:rsid w:val="00E80F7D"/>
    <w:rPr>
      <w:sz w:val="18"/>
      <w:szCs w:val="18"/>
    </w:rPr>
  </w:style>
  <w:style w:type="paragraph" w:styleId="CommentText">
    <w:name w:val="annotation text"/>
    <w:basedOn w:val="Normal"/>
    <w:link w:val="CommentTextChar"/>
    <w:uiPriority w:val="99"/>
    <w:semiHidden/>
    <w:unhideWhenUsed/>
    <w:rsid w:val="00E80F7D"/>
  </w:style>
  <w:style w:type="character" w:customStyle="1" w:styleId="CommentTextChar">
    <w:name w:val="Comment Text Char"/>
    <w:basedOn w:val="DefaultParagraphFont"/>
    <w:link w:val="CommentText"/>
    <w:uiPriority w:val="99"/>
    <w:semiHidden/>
    <w:rsid w:val="00E80F7D"/>
    <w:rPr>
      <w:sz w:val="24"/>
      <w:szCs w:val="24"/>
      <w:lang w:val="en-US"/>
    </w:rPr>
  </w:style>
  <w:style w:type="paragraph" w:styleId="CommentSubject">
    <w:name w:val="annotation subject"/>
    <w:basedOn w:val="CommentText"/>
    <w:next w:val="CommentText"/>
    <w:link w:val="CommentSubjectChar"/>
    <w:uiPriority w:val="99"/>
    <w:semiHidden/>
    <w:unhideWhenUsed/>
    <w:rsid w:val="00E80F7D"/>
    <w:rPr>
      <w:b/>
      <w:bCs/>
      <w:sz w:val="20"/>
      <w:szCs w:val="20"/>
    </w:rPr>
  </w:style>
  <w:style w:type="character" w:customStyle="1" w:styleId="CommentSubjectChar">
    <w:name w:val="Comment Subject Char"/>
    <w:basedOn w:val="CommentTextChar"/>
    <w:link w:val="CommentSubject"/>
    <w:uiPriority w:val="99"/>
    <w:semiHidden/>
    <w:rsid w:val="00E80F7D"/>
    <w:rPr>
      <w:b/>
      <w:bCs/>
      <w:sz w:val="24"/>
      <w:szCs w:val="24"/>
      <w:lang w:val="en-US"/>
    </w:rPr>
  </w:style>
  <w:style w:type="paragraph" w:styleId="Revision">
    <w:name w:val="Revision"/>
    <w:hidden/>
    <w:uiPriority w:val="99"/>
    <w:semiHidden/>
    <w:rsid w:val="00E80F7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style">
    <w:name w:val="Header style"/>
    <w:pPr>
      <w:tabs>
        <w:tab w:val="center" w:pos="4513"/>
        <w:tab w:val="right" w:pos="9026"/>
      </w:tabs>
      <w:spacing w:after="140"/>
      <w:jc w:val="center"/>
    </w:pPr>
    <w:rPr>
      <w:rFonts w:ascii="Arial" w:hAnsi="Arial Unicode MS" w:cs="Arial Unicode MS"/>
      <w:color w:val="000000"/>
      <w:u w:color="000000"/>
      <w:lang w:val="en-US"/>
    </w:rPr>
  </w:style>
  <w:style w:type="paragraph" w:styleId="Footer">
    <w:name w:val="footer"/>
    <w:pPr>
      <w:tabs>
        <w:tab w:val="center" w:pos="4513"/>
        <w:tab w:val="right" w:pos="9026"/>
      </w:tabs>
      <w:spacing w:after="140"/>
      <w:jc w:val="both"/>
    </w:pPr>
    <w:rPr>
      <w:rFonts w:ascii="Arial" w:eastAsia="Arial" w:hAnsi="Arial" w:cs="Arial"/>
      <w:color w:val="000000"/>
      <w:sz w:val="22"/>
      <w:szCs w:val="22"/>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PublicationTitle">
    <w:name w:val="Publication Title"/>
    <w:next w:val="AuthorName"/>
    <w:pPr>
      <w:spacing w:after="140"/>
      <w:jc w:val="center"/>
    </w:pPr>
    <w:rPr>
      <w:rFonts w:ascii="Arial" w:eastAsia="Arial" w:hAnsi="Arial" w:cs="Arial"/>
      <w:b/>
      <w:bCs/>
      <w:color w:val="000000"/>
      <w:sz w:val="32"/>
      <w:szCs w:val="32"/>
      <w:u w:color="000000"/>
      <w:lang w:val="en-US"/>
    </w:rPr>
  </w:style>
  <w:style w:type="paragraph" w:customStyle="1" w:styleId="AuthorName">
    <w:name w:val="Author Name"/>
    <w:next w:val="AuthorAddress"/>
    <w:pPr>
      <w:spacing w:after="140"/>
      <w:jc w:val="center"/>
    </w:pPr>
    <w:rPr>
      <w:rFonts w:ascii="Arial" w:eastAsia="Arial" w:hAnsi="Arial" w:cs="Arial"/>
      <w:color w:val="000000"/>
      <w:sz w:val="22"/>
      <w:szCs w:val="22"/>
      <w:u w:color="000000"/>
      <w:lang w:val="en-US"/>
    </w:rPr>
  </w:style>
  <w:style w:type="paragraph" w:customStyle="1" w:styleId="AuthorAddress">
    <w:name w:val="Author Address"/>
    <w:pPr>
      <w:spacing w:after="140"/>
      <w:jc w:val="center"/>
    </w:pPr>
    <w:rPr>
      <w:rFonts w:ascii="Arial" w:eastAsia="Arial" w:hAnsi="Arial" w:cs="Arial"/>
      <w:color w:val="000000"/>
      <w:u w:color="000000"/>
      <w:lang w:val="en-US"/>
    </w:rPr>
  </w:style>
  <w:style w:type="paragraph" w:customStyle="1" w:styleId="AbstractTitle">
    <w:name w:val="Abstract Title"/>
    <w:next w:val="BodyA"/>
    <w:pPr>
      <w:spacing w:before="240" w:after="140"/>
      <w:jc w:val="center"/>
    </w:pPr>
    <w:rPr>
      <w:rFonts w:ascii="Arial" w:hAnsi="Arial Unicode MS" w:cs="Arial Unicode MS"/>
      <w:b/>
      <w:bCs/>
      <w:color w:val="000000"/>
      <w:sz w:val="28"/>
      <w:szCs w:val="28"/>
      <w:u w:color="000000"/>
      <w:lang w:val="en-US"/>
    </w:rPr>
  </w:style>
  <w:style w:type="paragraph" w:customStyle="1" w:styleId="BodyA">
    <w:name w:val="Body A"/>
    <w:pPr>
      <w:spacing w:after="140"/>
      <w:jc w:val="both"/>
    </w:pPr>
    <w:rPr>
      <w:rFonts w:ascii="Arial" w:hAnsi="Arial Unicode MS" w:cs="Arial Unicode MS"/>
      <w:color w:val="000000"/>
      <w:sz w:val="22"/>
      <w:szCs w:val="22"/>
      <w:u w:color="000000"/>
      <w:lang w:val="en-US"/>
    </w:rPr>
  </w:style>
  <w:style w:type="paragraph" w:customStyle="1" w:styleId="SectionHeadingLevel1">
    <w:name w:val="Section Heading Level 1"/>
    <w:next w:val="BodyA"/>
    <w:pPr>
      <w:spacing w:before="200" w:after="140"/>
      <w:jc w:val="both"/>
    </w:pPr>
    <w:rPr>
      <w:rFonts w:ascii="Arial" w:hAnsi="Arial Unicode MS" w:cs="Arial Unicode MS"/>
      <w:b/>
      <w:bCs/>
      <w:color w:val="000000"/>
      <w:sz w:val="28"/>
      <w:szCs w:val="28"/>
      <w:u w:color="000000"/>
      <w:lang w:val="en-US"/>
    </w:rPr>
  </w:style>
  <w:style w:type="paragraph" w:customStyle="1" w:styleId="Captionstyle">
    <w:name w:val="Caption style"/>
    <w:pPr>
      <w:spacing w:after="140"/>
      <w:jc w:val="both"/>
    </w:pPr>
    <w:rPr>
      <w:rFonts w:ascii="Arial" w:hAnsi="Arial Unicode MS" w:cs="Arial Unicode MS"/>
      <w:b/>
      <w:bCs/>
      <w:color w:val="000000"/>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paragraph" w:customStyle="1" w:styleId="Default">
    <w:name w:val="Default"/>
    <w:rPr>
      <w:rFonts w:ascii="Helvetica" w:hAnsi="Arial Unicode MS" w:cs="Arial Unicode MS"/>
      <w:color w:val="000000"/>
      <w:sz w:val="22"/>
      <w:szCs w:val="22"/>
      <w:u w:color="000000"/>
      <w:lang w:val="en-US"/>
    </w:rPr>
  </w:style>
  <w:style w:type="paragraph" w:customStyle="1" w:styleId="SectionHeadingLevel2">
    <w:name w:val="Section Heading Level 2"/>
    <w:next w:val="BodyA"/>
    <w:pPr>
      <w:spacing w:before="200" w:after="140"/>
      <w:ind w:left="720" w:hanging="720"/>
      <w:jc w:val="both"/>
    </w:pPr>
    <w:rPr>
      <w:rFonts w:ascii="Arial" w:hAnsi="Arial Unicode MS" w:cs="Arial Unicode MS"/>
      <w:b/>
      <w:bCs/>
      <w:color w:val="000000"/>
      <w:sz w:val="24"/>
      <w:szCs w:val="24"/>
      <w:u w:color="000000"/>
      <w:lang w:val="en-US"/>
    </w:rPr>
  </w:style>
  <w:style w:type="paragraph" w:customStyle="1" w:styleId="BodyB">
    <w:name w:val="Body B"/>
    <w:rPr>
      <w:rFonts w:hAnsi="Arial Unicode MS" w:cs="Arial Unicode MS"/>
      <w:color w:val="000000"/>
      <w:sz w:val="24"/>
      <w:szCs w:val="24"/>
      <w:u w:color="000000"/>
      <w:lang w:val="en-US"/>
    </w:rPr>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paragraph" w:customStyle="1" w:styleId="TableStyle2A">
    <w:name w:val="Table Style 2 A"/>
    <w:rPr>
      <w:rFonts w:ascii="Helvetica" w:hAnsi="Arial Unicode MS" w:cs="Arial Unicode MS"/>
      <w:color w:val="000000"/>
      <w:u w:color="000000"/>
      <w:lang w:val="en-US"/>
    </w:rPr>
  </w:style>
  <w:style w:type="numbering" w:customStyle="1" w:styleId="List7">
    <w:name w:val="List 7"/>
    <w:basedOn w:val="ImportedStyle8"/>
    <w:pPr>
      <w:numPr>
        <w:numId w:val="8"/>
      </w:numPr>
    </w:pPr>
  </w:style>
  <w:style w:type="numbering" w:customStyle="1" w:styleId="ImportedStyle8">
    <w:name w:val="Imported Style 8"/>
  </w:style>
  <w:style w:type="paragraph" w:customStyle="1" w:styleId="TableStyle2">
    <w:name w:val="Table Style 2"/>
    <w:rPr>
      <w:rFonts w:ascii="Helvetica" w:eastAsia="Helvetica" w:hAnsi="Helvetica" w:cs="Helvetica"/>
      <w:color w:val="000000"/>
    </w:rPr>
  </w:style>
  <w:style w:type="paragraph" w:customStyle="1" w:styleId="SectionHeadingLevel3">
    <w:name w:val="Section Heading Level 3"/>
    <w:next w:val="BodyA"/>
    <w:pPr>
      <w:spacing w:before="240" w:after="140"/>
      <w:jc w:val="both"/>
    </w:pPr>
    <w:rPr>
      <w:rFonts w:ascii="Arial" w:hAnsi="Arial Unicode MS" w:cs="Arial Unicode MS"/>
      <w:b/>
      <w:bCs/>
      <w:i/>
      <w:iCs/>
      <w:color w:val="000000"/>
      <w:sz w:val="22"/>
      <w:szCs w:val="22"/>
      <w:u w:color="000000"/>
      <w:lang w:val="en-US"/>
    </w:rPr>
  </w:style>
  <w:style w:type="numbering" w:customStyle="1" w:styleId="List8">
    <w:name w:val="List 8"/>
    <w:basedOn w:val="ImportedStyle12"/>
    <w:pPr>
      <w:numPr>
        <w:numId w:val="9"/>
      </w:numPr>
    </w:pPr>
  </w:style>
  <w:style w:type="numbering" w:customStyle="1" w:styleId="ImportedStyle12">
    <w:name w:val="Imported Style 12"/>
  </w:style>
  <w:style w:type="numbering" w:customStyle="1" w:styleId="List9">
    <w:name w:val="List 9"/>
    <w:basedOn w:val="ImportedStyle13"/>
    <w:pPr>
      <w:numPr>
        <w:numId w:val="10"/>
      </w:numPr>
    </w:pPr>
  </w:style>
  <w:style w:type="numbering" w:customStyle="1" w:styleId="ImportedStyle13">
    <w:name w:val="Imported Style 13"/>
  </w:style>
  <w:style w:type="numbering" w:customStyle="1" w:styleId="List10">
    <w:name w:val="List 10"/>
    <w:basedOn w:val="ImportedStyle14"/>
    <w:pPr>
      <w:numPr>
        <w:numId w:val="11"/>
      </w:numPr>
    </w:pPr>
  </w:style>
  <w:style w:type="numbering" w:customStyle="1" w:styleId="ImportedStyle14">
    <w:name w:val="Imported Style 14"/>
  </w:style>
  <w:style w:type="numbering" w:customStyle="1" w:styleId="List11">
    <w:name w:val="List 11"/>
    <w:basedOn w:val="ImportedStyle15"/>
    <w:pPr>
      <w:numPr>
        <w:numId w:val="12"/>
      </w:numPr>
    </w:pPr>
  </w:style>
  <w:style w:type="numbering" w:customStyle="1" w:styleId="ImportedStyle15">
    <w:name w:val="Imported Style 15"/>
  </w:style>
  <w:style w:type="numbering" w:customStyle="1" w:styleId="List12">
    <w:name w:val="List 12"/>
    <w:basedOn w:val="ImportedStyle16"/>
    <w:pPr>
      <w:numPr>
        <w:numId w:val="13"/>
      </w:numPr>
    </w:pPr>
  </w:style>
  <w:style w:type="numbering" w:customStyle="1" w:styleId="ImportedStyle16">
    <w:name w:val="Imported Style 16"/>
  </w:style>
  <w:style w:type="numbering" w:customStyle="1" w:styleId="List13">
    <w:name w:val="List 13"/>
    <w:basedOn w:val="ImportedStyle17"/>
    <w:pPr>
      <w:numPr>
        <w:numId w:val="14"/>
      </w:numPr>
    </w:pPr>
  </w:style>
  <w:style w:type="numbering" w:customStyle="1" w:styleId="ImportedStyle17">
    <w:name w:val="Imported Style 17"/>
  </w:style>
  <w:style w:type="numbering" w:customStyle="1" w:styleId="List14">
    <w:name w:val="List 14"/>
    <w:basedOn w:val="ImportedStyle18"/>
    <w:pPr>
      <w:numPr>
        <w:numId w:val="15"/>
      </w:numPr>
    </w:pPr>
  </w:style>
  <w:style w:type="numbering" w:customStyle="1" w:styleId="ImportedStyle18">
    <w:name w:val="Imported Style 18"/>
  </w:style>
  <w:style w:type="numbering" w:customStyle="1" w:styleId="List15">
    <w:name w:val="List 15"/>
    <w:basedOn w:val="ImportedStyle19"/>
    <w:pPr>
      <w:numPr>
        <w:numId w:val="16"/>
      </w:numPr>
    </w:pPr>
  </w:style>
  <w:style w:type="numbering" w:customStyle="1" w:styleId="ImportedStyle19">
    <w:name w:val="Imported Style 19"/>
  </w:style>
  <w:style w:type="paragraph" w:styleId="BalloonText">
    <w:name w:val="Balloon Text"/>
    <w:basedOn w:val="Normal"/>
    <w:link w:val="BalloonTextChar"/>
    <w:uiPriority w:val="99"/>
    <w:semiHidden/>
    <w:unhideWhenUsed/>
    <w:rsid w:val="009E6C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6CB5"/>
    <w:rPr>
      <w:rFonts w:ascii="Lucida Grande" w:hAnsi="Lucida Grande" w:cs="Lucida Grande"/>
      <w:sz w:val="18"/>
      <w:szCs w:val="18"/>
      <w:lang w:val="en-US"/>
    </w:rPr>
  </w:style>
  <w:style w:type="paragraph" w:styleId="ListParagraph">
    <w:name w:val="List Paragraph"/>
    <w:basedOn w:val="Normal"/>
    <w:uiPriority w:val="34"/>
    <w:qFormat/>
    <w:rsid w:val="00E747C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rPr>
  </w:style>
  <w:style w:type="paragraph" w:styleId="FootnoteText">
    <w:name w:val="footnote text"/>
    <w:basedOn w:val="Normal"/>
    <w:link w:val="FootnoteTextChar"/>
    <w:uiPriority w:val="99"/>
    <w:unhideWhenUsed/>
    <w:rsid w:val="00E747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en-GB"/>
    </w:rPr>
  </w:style>
  <w:style w:type="character" w:customStyle="1" w:styleId="FootnoteTextChar">
    <w:name w:val="Footnote Text Char"/>
    <w:basedOn w:val="DefaultParagraphFont"/>
    <w:link w:val="FootnoteText"/>
    <w:uiPriority w:val="99"/>
    <w:rsid w:val="00E747C6"/>
    <w:rPr>
      <w:rFonts w:asciiTheme="minorHAnsi" w:eastAsiaTheme="minorHAnsi" w:hAnsiTheme="minorHAnsi" w:cstheme="minorBidi"/>
      <w:bdr w:val="none" w:sz="0" w:space="0" w:color="auto"/>
    </w:rPr>
  </w:style>
  <w:style w:type="character" w:styleId="FootnoteReference">
    <w:name w:val="footnote reference"/>
    <w:basedOn w:val="DefaultParagraphFont"/>
    <w:uiPriority w:val="99"/>
    <w:unhideWhenUsed/>
    <w:rsid w:val="00E747C6"/>
    <w:rPr>
      <w:vertAlign w:val="superscript"/>
    </w:rPr>
  </w:style>
  <w:style w:type="paragraph" w:styleId="Caption">
    <w:name w:val="caption"/>
    <w:basedOn w:val="Normal"/>
    <w:next w:val="Normal"/>
    <w:uiPriority w:val="35"/>
    <w:unhideWhenUsed/>
    <w:qFormat/>
    <w:rsid w:val="00E747C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EastAsia" w:hAnsiTheme="minorHAnsi" w:cstheme="minorBidi"/>
      <w:b/>
      <w:bCs/>
      <w:color w:val="499BC9" w:themeColor="accent1"/>
      <w:sz w:val="18"/>
      <w:szCs w:val="18"/>
      <w:bdr w:val="none" w:sz="0" w:space="0" w:color="auto"/>
    </w:rPr>
  </w:style>
  <w:style w:type="table" w:styleId="TableGrid">
    <w:name w:val="Table Grid"/>
    <w:basedOn w:val="TableNormal"/>
    <w:uiPriority w:val="59"/>
    <w:rsid w:val="00E747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F550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en-GB"/>
    </w:rPr>
  </w:style>
  <w:style w:type="character" w:styleId="CommentReference">
    <w:name w:val="annotation reference"/>
    <w:basedOn w:val="DefaultParagraphFont"/>
    <w:uiPriority w:val="99"/>
    <w:semiHidden/>
    <w:unhideWhenUsed/>
    <w:rsid w:val="00E80F7D"/>
    <w:rPr>
      <w:sz w:val="18"/>
      <w:szCs w:val="18"/>
    </w:rPr>
  </w:style>
  <w:style w:type="paragraph" w:styleId="CommentText">
    <w:name w:val="annotation text"/>
    <w:basedOn w:val="Normal"/>
    <w:link w:val="CommentTextChar"/>
    <w:uiPriority w:val="99"/>
    <w:semiHidden/>
    <w:unhideWhenUsed/>
    <w:rsid w:val="00E80F7D"/>
  </w:style>
  <w:style w:type="character" w:customStyle="1" w:styleId="CommentTextChar">
    <w:name w:val="Comment Text Char"/>
    <w:basedOn w:val="DefaultParagraphFont"/>
    <w:link w:val="CommentText"/>
    <w:uiPriority w:val="99"/>
    <w:semiHidden/>
    <w:rsid w:val="00E80F7D"/>
    <w:rPr>
      <w:sz w:val="24"/>
      <w:szCs w:val="24"/>
      <w:lang w:val="en-US"/>
    </w:rPr>
  </w:style>
  <w:style w:type="paragraph" w:styleId="CommentSubject">
    <w:name w:val="annotation subject"/>
    <w:basedOn w:val="CommentText"/>
    <w:next w:val="CommentText"/>
    <w:link w:val="CommentSubjectChar"/>
    <w:uiPriority w:val="99"/>
    <w:semiHidden/>
    <w:unhideWhenUsed/>
    <w:rsid w:val="00E80F7D"/>
    <w:rPr>
      <w:b/>
      <w:bCs/>
      <w:sz w:val="20"/>
      <w:szCs w:val="20"/>
    </w:rPr>
  </w:style>
  <w:style w:type="character" w:customStyle="1" w:styleId="CommentSubjectChar">
    <w:name w:val="Comment Subject Char"/>
    <w:basedOn w:val="CommentTextChar"/>
    <w:link w:val="CommentSubject"/>
    <w:uiPriority w:val="99"/>
    <w:semiHidden/>
    <w:rsid w:val="00E80F7D"/>
    <w:rPr>
      <w:b/>
      <w:bCs/>
      <w:sz w:val="24"/>
      <w:szCs w:val="24"/>
      <w:lang w:val="en-US"/>
    </w:rPr>
  </w:style>
  <w:style w:type="paragraph" w:styleId="Revision">
    <w:name w:val="Revision"/>
    <w:hidden/>
    <w:uiPriority w:val="99"/>
    <w:semiHidden/>
    <w:rsid w:val="00E80F7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282221">
      <w:bodyDiv w:val="1"/>
      <w:marLeft w:val="0"/>
      <w:marRight w:val="0"/>
      <w:marTop w:val="0"/>
      <w:marBottom w:val="0"/>
      <w:divBdr>
        <w:top w:val="none" w:sz="0" w:space="0" w:color="auto"/>
        <w:left w:val="none" w:sz="0" w:space="0" w:color="auto"/>
        <w:bottom w:val="none" w:sz="0" w:space="0" w:color="auto"/>
        <w:right w:val="none" w:sz="0" w:space="0" w:color="auto"/>
      </w:divBdr>
    </w:div>
    <w:div w:id="531189243">
      <w:bodyDiv w:val="1"/>
      <w:marLeft w:val="0"/>
      <w:marRight w:val="0"/>
      <w:marTop w:val="0"/>
      <w:marBottom w:val="0"/>
      <w:divBdr>
        <w:top w:val="none" w:sz="0" w:space="0" w:color="auto"/>
        <w:left w:val="none" w:sz="0" w:space="0" w:color="auto"/>
        <w:bottom w:val="none" w:sz="0" w:space="0" w:color="auto"/>
        <w:right w:val="none" w:sz="0" w:space="0" w:color="auto"/>
      </w:divBdr>
    </w:div>
    <w:div w:id="561916135">
      <w:bodyDiv w:val="1"/>
      <w:marLeft w:val="0"/>
      <w:marRight w:val="0"/>
      <w:marTop w:val="0"/>
      <w:marBottom w:val="0"/>
      <w:divBdr>
        <w:top w:val="none" w:sz="0" w:space="0" w:color="auto"/>
        <w:left w:val="none" w:sz="0" w:space="0" w:color="auto"/>
        <w:bottom w:val="none" w:sz="0" w:space="0" w:color="auto"/>
        <w:right w:val="none" w:sz="0" w:space="0" w:color="auto"/>
      </w:divBdr>
    </w:div>
    <w:div w:id="644894390">
      <w:bodyDiv w:val="1"/>
      <w:marLeft w:val="0"/>
      <w:marRight w:val="0"/>
      <w:marTop w:val="0"/>
      <w:marBottom w:val="0"/>
      <w:divBdr>
        <w:top w:val="none" w:sz="0" w:space="0" w:color="auto"/>
        <w:left w:val="none" w:sz="0" w:space="0" w:color="auto"/>
        <w:bottom w:val="none" w:sz="0" w:space="0" w:color="auto"/>
        <w:right w:val="none" w:sz="0" w:space="0" w:color="auto"/>
      </w:divBdr>
      <w:divsChild>
        <w:div w:id="1630277063">
          <w:marLeft w:val="0"/>
          <w:marRight w:val="0"/>
          <w:marTop w:val="0"/>
          <w:marBottom w:val="0"/>
          <w:divBdr>
            <w:top w:val="none" w:sz="0" w:space="0" w:color="auto"/>
            <w:left w:val="none" w:sz="0" w:space="0" w:color="auto"/>
            <w:bottom w:val="none" w:sz="0" w:space="0" w:color="auto"/>
            <w:right w:val="none" w:sz="0" w:space="0" w:color="auto"/>
          </w:divBdr>
        </w:div>
      </w:divsChild>
    </w:div>
    <w:div w:id="715854115">
      <w:bodyDiv w:val="1"/>
      <w:marLeft w:val="0"/>
      <w:marRight w:val="0"/>
      <w:marTop w:val="0"/>
      <w:marBottom w:val="0"/>
      <w:divBdr>
        <w:top w:val="none" w:sz="0" w:space="0" w:color="auto"/>
        <w:left w:val="none" w:sz="0" w:space="0" w:color="auto"/>
        <w:bottom w:val="none" w:sz="0" w:space="0" w:color="auto"/>
        <w:right w:val="none" w:sz="0" w:space="0" w:color="auto"/>
      </w:divBdr>
      <w:divsChild>
        <w:div w:id="525993335">
          <w:marLeft w:val="0"/>
          <w:marRight w:val="0"/>
          <w:marTop w:val="0"/>
          <w:marBottom w:val="0"/>
          <w:divBdr>
            <w:top w:val="none" w:sz="0" w:space="0" w:color="auto"/>
            <w:left w:val="none" w:sz="0" w:space="0" w:color="auto"/>
            <w:bottom w:val="none" w:sz="0" w:space="0" w:color="auto"/>
            <w:right w:val="none" w:sz="0" w:space="0" w:color="auto"/>
          </w:divBdr>
        </w:div>
      </w:divsChild>
    </w:div>
    <w:div w:id="872185162">
      <w:bodyDiv w:val="1"/>
      <w:marLeft w:val="0"/>
      <w:marRight w:val="0"/>
      <w:marTop w:val="0"/>
      <w:marBottom w:val="0"/>
      <w:divBdr>
        <w:top w:val="none" w:sz="0" w:space="0" w:color="auto"/>
        <w:left w:val="none" w:sz="0" w:space="0" w:color="auto"/>
        <w:bottom w:val="none" w:sz="0" w:space="0" w:color="auto"/>
        <w:right w:val="none" w:sz="0" w:space="0" w:color="auto"/>
      </w:divBdr>
    </w:div>
    <w:div w:id="911741541">
      <w:bodyDiv w:val="1"/>
      <w:marLeft w:val="0"/>
      <w:marRight w:val="0"/>
      <w:marTop w:val="0"/>
      <w:marBottom w:val="0"/>
      <w:divBdr>
        <w:top w:val="none" w:sz="0" w:space="0" w:color="auto"/>
        <w:left w:val="none" w:sz="0" w:space="0" w:color="auto"/>
        <w:bottom w:val="none" w:sz="0" w:space="0" w:color="auto"/>
        <w:right w:val="none" w:sz="0" w:space="0" w:color="auto"/>
      </w:divBdr>
    </w:div>
    <w:div w:id="952051009">
      <w:bodyDiv w:val="1"/>
      <w:marLeft w:val="0"/>
      <w:marRight w:val="0"/>
      <w:marTop w:val="0"/>
      <w:marBottom w:val="0"/>
      <w:divBdr>
        <w:top w:val="none" w:sz="0" w:space="0" w:color="auto"/>
        <w:left w:val="none" w:sz="0" w:space="0" w:color="auto"/>
        <w:bottom w:val="none" w:sz="0" w:space="0" w:color="auto"/>
        <w:right w:val="none" w:sz="0" w:space="0" w:color="auto"/>
      </w:divBdr>
      <w:divsChild>
        <w:div w:id="1469467705">
          <w:marLeft w:val="0"/>
          <w:marRight w:val="0"/>
          <w:marTop w:val="0"/>
          <w:marBottom w:val="0"/>
          <w:divBdr>
            <w:top w:val="none" w:sz="0" w:space="0" w:color="auto"/>
            <w:left w:val="none" w:sz="0" w:space="0" w:color="auto"/>
            <w:bottom w:val="none" w:sz="0" w:space="0" w:color="auto"/>
            <w:right w:val="none" w:sz="0" w:space="0" w:color="auto"/>
          </w:divBdr>
        </w:div>
      </w:divsChild>
    </w:div>
    <w:div w:id="973481695">
      <w:bodyDiv w:val="1"/>
      <w:marLeft w:val="0"/>
      <w:marRight w:val="0"/>
      <w:marTop w:val="0"/>
      <w:marBottom w:val="0"/>
      <w:divBdr>
        <w:top w:val="none" w:sz="0" w:space="0" w:color="auto"/>
        <w:left w:val="none" w:sz="0" w:space="0" w:color="auto"/>
        <w:bottom w:val="none" w:sz="0" w:space="0" w:color="auto"/>
        <w:right w:val="none" w:sz="0" w:space="0" w:color="auto"/>
      </w:divBdr>
      <w:divsChild>
        <w:div w:id="1570533872">
          <w:marLeft w:val="0"/>
          <w:marRight w:val="0"/>
          <w:marTop w:val="0"/>
          <w:marBottom w:val="0"/>
          <w:divBdr>
            <w:top w:val="none" w:sz="0" w:space="0" w:color="auto"/>
            <w:left w:val="none" w:sz="0" w:space="0" w:color="auto"/>
            <w:bottom w:val="none" w:sz="0" w:space="0" w:color="auto"/>
            <w:right w:val="none" w:sz="0" w:space="0" w:color="auto"/>
          </w:divBdr>
        </w:div>
      </w:divsChild>
    </w:div>
    <w:div w:id="987394645">
      <w:bodyDiv w:val="1"/>
      <w:marLeft w:val="0"/>
      <w:marRight w:val="0"/>
      <w:marTop w:val="0"/>
      <w:marBottom w:val="0"/>
      <w:divBdr>
        <w:top w:val="none" w:sz="0" w:space="0" w:color="auto"/>
        <w:left w:val="none" w:sz="0" w:space="0" w:color="auto"/>
        <w:bottom w:val="none" w:sz="0" w:space="0" w:color="auto"/>
        <w:right w:val="none" w:sz="0" w:space="0" w:color="auto"/>
      </w:divBdr>
      <w:divsChild>
        <w:div w:id="1326013188">
          <w:marLeft w:val="0"/>
          <w:marRight w:val="0"/>
          <w:marTop w:val="0"/>
          <w:marBottom w:val="0"/>
          <w:divBdr>
            <w:top w:val="none" w:sz="0" w:space="0" w:color="auto"/>
            <w:left w:val="none" w:sz="0" w:space="0" w:color="auto"/>
            <w:bottom w:val="none" w:sz="0" w:space="0" w:color="auto"/>
            <w:right w:val="none" w:sz="0" w:space="0" w:color="auto"/>
          </w:divBdr>
        </w:div>
      </w:divsChild>
    </w:div>
    <w:div w:id="1261179177">
      <w:bodyDiv w:val="1"/>
      <w:marLeft w:val="0"/>
      <w:marRight w:val="0"/>
      <w:marTop w:val="0"/>
      <w:marBottom w:val="0"/>
      <w:divBdr>
        <w:top w:val="none" w:sz="0" w:space="0" w:color="auto"/>
        <w:left w:val="none" w:sz="0" w:space="0" w:color="auto"/>
        <w:bottom w:val="none" w:sz="0" w:space="0" w:color="auto"/>
        <w:right w:val="none" w:sz="0" w:space="0" w:color="auto"/>
      </w:divBdr>
      <w:divsChild>
        <w:div w:id="1577665860">
          <w:marLeft w:val="0"/>
          <w:marRight w:val="0"/>
          <w:marTop w:val="0"/>
          <w:marBottom w:val="0"/>
          <w:divBdr>
            <w:top w:val="none" w:sz="0" w:space="0" w:color="auto"/>
            <w:left w:val="none" w:sz="0" w:space="0" w:color="auto"/>
            <w:bottom w:val="none" w:sz="0" w:space="0" w:color="auto"/>
            <w:right w:val="none" w:sz="0" w:space="0" w:color="auto"/>
          </w:divBdr>
        </w:div>
      </w:divsChild>
    </w:div>
    <w:div w:id="1418750298">
      <w:bodyDiv w:val="1"/>
      <w:marLeft w:val="0"/>
      <w:marRight w:val="0"/>
      <w:marTop w:val="0"/>
      <w:marBottom w:val="0"/>
      <w:divBdr>
        <w:top w:val="none" w:sz="0" w:space="0" w:color="auto"/>
        <w:left w:val="none" w:sz="0" w:space="0" w:color="auto"/>
        <w:bottom w:val="none" w:sz="0" w:space="0" w:color="auto"/>
        <w:right w:val="none" w:sz="0" w:space="0" w:color="auto"/>
      </w:divBdr>
    </w:div>
    <w:div w:id="1422919550">
      <w:bodyDiv w:val="1"/>
      <w:marLeft w:val="0"/>
      <w:marRight w:val="0"/>
      <w:marTop w:val="0"/>
      <w:marBottom w:val="0"/>
      <w:divBdr>
        <w:top w:val="none" w:sz="0" w:space="0" w:color="auto"/>
        <w:left w:val="none" w:sz="0" w:space="0" w:color="auto"/>
        <w:bottom w:val="none" w:sz="0" w:space="0" w:color="auto"/>
        <w:right w:val="none" w:sz="0" w:space="0" w:color="auto"/>
      </w:divBdr>
    </w:div>
    <w:div w:id="1536312181">
      <w:bodyDiv w:val="1"/>
      <w:marLeft w:val="0"/>
      <w:marRight w:val="0"/>
      <w:marTop w:val="0"/>
      <w:marBottom w:val="0"/>
      <w:divBdr>
        <w:top w:val="none" w:sz="0" w:space="0" w:color="auto"/>
        <w:left w:val="none" w:sz="0" w:space="0" w:color="auto"/>
        <w:bottom w:val="none" w:sz="0" w:space="0" w:color="auto"/>
        <w:right w:val="none" w:sz="0" w:space="0" w:color="auto"/>
      </w:divBdr>
      <w:divsChild>
        <w:div w:id="769012051">
          <w:marLeft w:val="0"/>
          <w:marRight w:val="0"/>
          <w:marTop w:val="0"/>
          <w:marBottom w:val="0"/>
          <w:divBdr>
            <w:top w:val="none" w:sz="0" w:space="0" w:color="auto"/>
            <w:left w:val="none" w:sz="0" w:space="0" w:color="auto"/>
            <w:bottom w:val="none" w:sz="0" w:space="0" w:color="auto"/>
            <w:right w:val="none" w:sz="0" w:space="0" w:color="auto"/>
          </w:divBdr>
        </w:div>
      </w:divsChild>
    </w:div>
    <w:div w:id="1545170784">
      <w:bodyDiv w:val="1"/>
      <w:marLeft w:val="0"/>
      <w:marRight w:val="0"/>
      <w:marTop w:val="0"/>
      <w:marBottom w:val="0"/>
      <w:divBdr>
        <w:top w:val="none" w:sz="0" w:space="0" w:color="auto"/>
        <w:left w:val="none" w:sz="0" w:space="0" w:color="auto"/>
        <w:bottom w:val="none" w:sz="0" w:space="0" w:color="auto"/>
        <w:right w:val="none" w:sz="0" w:space="0" w:color="auto"/>
      </w:divBdr>
      <w:divsChild>
        <w:div w:id="257833243">
          <w:marLeft w:val="0"/>
          <w:marRight w:val="0"/>
          <w:marTop w:val="0"/>
          <w:marBottom w:val="0"/>
          <w:divBdr>
            <w:top w:val="none" w:sz="0" w:space="0" w:color="auto"/>
            <w:left w:val="none" w:sz="0" w:space="0" w:color="auto"/>
            <w:bottom w:val="none" w:sz="0" w:space="0" w:color="auto"/>
            <w:right w:val="none" w:sz="0" w:space="0" w:color="auto"/>
          </w:divBdr>
        </w:div>
      </w:divsChild>
    </w:div>
    <w:div w:id="1562983455">
      <w:bodyDiv w:val="1"/>
      <w:marLeft w:val="0"/>
      <w:marRight w:val="0"/>
      <w:marTop w:val="0"/>
      <w:marBottom w:val="0"/>
      <w:divBdr>
        <w:top w:val="none" w:sz="0" w:space="0" w:color="auto"/>
        <w:left w:val="none" w:sz="0" w:space="0" w:color="auto"/>
        <w:bottom w:val="none" w:sz="0" w:space="0" w:color="auto"/>
        <w:right w:val="none" w:sz="0" w:space="0" w:color="auto"/>
      </w:divBdr>
      <w:divsChild>
        <w:div w:id="868950057">
          <w:marLeft w:val="0"/>
          <w:marRight w:val="0"/>
          <w:marTop w:val="0"/>
          <w:marBottom w:val="0"/>
          <w:divBdr>
            <w:top w:val="none" w:sz="0" w:space="0" w:color="auto"/>
            <w:left w:val="none" w:sz="0" w:space="0" w:color="auto"/>
            <w:bottom w:val="none" w:sz="0" w:space="0" w:color="auto"/>
            <w:right w:val="none" w:sz="0" w:space="0" w:color="auto"/>
          </w:divBdr>
        </w:div>
      </w:divsChild>
    </w:div>
    <w:div w:id="1631471829">
      <w:bodyDiv w:val="1"/>
      <w:marLeft w:val="0"/>
      <w:marRight w:val="0"/>
      <w:marTop w:val="0"/>
      <w:marBottom w:val="0"/>
      <w:divBdr>
        <w:top w:val="none" w:sz="0" w:space="0" w:color="auto"/>
        <w:left w:val="none" w:sz="0" w:space="0" w:color="auto"/>
        <w:bottom w:val="none" w:sz="0" w:space="0" w:color="auto"/>
        <w:right w:val="none" w:sz="0" w:space="0" w:color="auto"/>
      </w:divBdr>
      <w:divsChild>
        <w:div w:id="1152404481">
          <w:marLeft w:val="0"/>
          <w:marRight w:val="0"/>
          <w:marTop w:val="0"/>
          <w:marBottom w:val="0"/>
          <w:divBdr>
            <w:top w:val="none" w:sz="0" w:space="0" w:color="auto"/>
            <w:left w:val="none" w:sz="0" w:space="0" w:color="auto"/>
            <w:bottom w:val="none" w:sz="0" w:space="0" w:color="auto"/>
            <w:right w:val="none" w:sz="0" w:space="0" w:color="auto"/>
          </w:divBdr>
        </w:div>
      </w:divsChild>
    </w:div>
    <w:div w:id="1705668463">
      <w:bodyDiv w:val="1"/>
      <w:marLeft w:val="0"/>
      <w:marRight w:val="0"/>
      <w:marTop w:val="0"/>
      <w:marBottom w:val="0"/>
      <w:divBdr>
        <w:top w:val="none" w:sz="0" w:space="0" w:color="auto"/>
        <w:left w:val="none" w:sz="0" w:space="0" w:color="auto"/>
        <w:bottom w:val="none" w:sz="0" w:space="0" w:color="auto"/>
        <w:right w:val="none" w:sz="0" w:space="0" w:color="auto"/>
      </w:divBdr>
      <w:divsChild>
        <w:div w:id="30231753">
          <w:marLeft w:val="0"/>
          <w:marRight w:val="0"/>
          <w:marTop w:val="0"/>
          <w:marBottom w:val="0"/>
          <w:divBdr>
            <w:top w:val="none" w:sz="0" w:space="0" w:color="auto"/>
            <w:left w:val="none" w:sz="0" w:space="0" w:color="auto"/>
            <w:bottom w:val="none" w:sz="0" w:space="0" w:color="auto"/>
            <w:right w:val="none" w:sz="0" w:space="0" w:color="auto"/>
          </w:divBdr>
        </w:div>
      </w:divsChild>
    </w:div>
    <w:div w:id="1885746765">
      <w:bodyDiv w:val="1"/>
      <w:marLeft w:val="0"/>
      <w:marRight w:val="0"/>
      <w:marTop w:val="0"/>
      <w:marBottom w:val="0"/>
      <w:divBdr>
        <w:top w:val="none" w:sz="0" w:space="0" w:color="auto"/>
        <w:left w:val="none" w:sz="0" w:space="0" w:color="auto"/>
        <w:bottom w:val="none" w:sz="0" w:space="0" w:color="auto"/>
        <w:right w:val="none" w:sz="0" w:space="0" w:color="auto"/>
      </w:divBdr>
      <w:divsChild>
        <w:div w:id="1023170809">
          <w:marLeft w:val="0"/>
          <w:marRight w:val="0"/>
          <w:marTop w:val="0"/>
          <w:marBottom w:val="0"/>
          <w:divBdr>
            <w:top w:val="none" w:sz="0" w:space="0" w:color="auto"/>
            <w:left w:val="none" w:sz="0" w:space="0" w:color="auto"/>
            <w:bottom w:val="none" w:sz="0" w:space="0" w:color="auto"/>
            <w:right w:val="none" w:sz="0" w:space="0" w:color="auto"/>
          </w:divBdr>
        </w:div>
      </w:divsChild>
    </w:div>
    <w:div w:id="21027512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arlbaker:Dropbox:MRC:MRC%20ATRF%20Light%20Rail:Rapid%20Transit%20Land%20Value%20Impact%20lit%20review%20summa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spPr>
            <a:solidFill>
              <a:schemeClr val="tx2">
                <a:lumMod val="60000"/>
                <a:lumOff val="40000"/>
              </a:schemeClr>
            </a:solidFill>
            <a:effectLst/>
          </c:spPr>
          <c:invertIfNegative val="0"/>
          <c:dPt>
            <c:idx val="0"/>
            <c:invertIfNegative val="0"/>
            <c:bubble3D val="0"/>
          </c:dPt>
          <c:dPt>
            <c:idx val="1"/>
            <c:invertIfNegative val="0"/>
            <c:bubble3D val="0"/>
          </c:dPt>
          <c:dPt>
            <c:idx val="2"/>
            <c:invertIfNegative val="0"/>
            <c:bubble3D val="0"/>
          </c:dPt>
          <c:dPt>
            <c:idx val="3"/>
            <c:invertIfNegative val="0"/>
            <c:bubble3D val="0"/>
          </c:dPt>
          <c:cat>
            <c:strRef>
              <c:f>'Property type'!$L$2:$AD$2</c:f>
              <c:strCache>
                <c:ptCount val="19"/>
                <c:pt idx="0">
                  <c:v>-0.2 - &lt;-0.15</c:v>
                </c:pt>
                <c:pt idx="1">
                  <c:v>-0.15 - &lt;-0.10</c:v>
                </c:pt>
                <c:pt idx="2">
                  <c:v>-0.10 - &lt;-0.05</c:v>
                </c:pt>
                <c:pt idx="3">
                  <c:v>-0.05 - &lt;0</c:v>
                </c:pt>
                <c:pt idx="4">
                  <c:v>0 - &lt;0.05</c:v>
                </c:pt>
                <c:pt idx="5">
                  <c:v>0.05 - &lt;0.10</c:v>
                </c:pt>
                <c:pt idx="6">
                  <c:v>0.10 - &lt;0.15</c:v>
                </c:pt>
                <c:pt idx="7">
                  <c:v>0.15 - &lt;0.2</c:v>
                </c:pt>
                <c:pt idx="8">
                  <c:v>0.2 - &lt;0.25</c:v>
                </c:pt>
                <c:pt idx="9">
                  <c:v>0.25 - &lt;0.3</c:v>
                </c:pt>
                <c:pt idx="10">
                  <c:v>0.3 - &lt;0.35</c:v>
                </c:pt>
                <c:pt idx="11">
                  <c:v>0.35 - &lt;0.4</c:v>
                </c:pt>
                <c:pt idx="12">
                  <c:v>0.4 - &lt;0.45</c:v>
                </c:pt>
                <c:pt idx="13">
                  <c:v>0.45 - &lt;0.50</c:v>
                </c:pt>
                <c:pt idx="14">
                  <c:v>0.50 - &lt;0.55</c:v>
                </c:pt>
                <c:pt idx="15">
                  <c:v>0.55 - &lt;0.6</c:v>
                </c:pt>
                <c:pt idx="16">
                  <c:v>0.6 - &lt;0.65</c:v>
                </c:pt>
                <c:pt idx="17">
                  <c:v>0.65 - &lt;0.70</c:v>
                </c:pt>
                <c:pt idx="18">
                  <c:v>0.7 - &lt;0.75</c:v>
                </c:pt>
              </c:strCache>
            </c:strRef>
          </c:cat>
          <c:val>
            <c:numRef>
              <c:f>'Property type'!$L$22:$AD$22</c:f>
              <c:numCache>
                <c:formatCode>General</c:formatCode>
                <c:ptCount val="19"/>
                <c:pt idx="0">
                  <c:v>1.0</c:v>
                </c:pt>
                <c:pt idx="1">
                  <c:v>1.0</c:v>
                </c:pt>
                <c:pt idx="2">
                  <c:v>5.0</c:v>
                </c:pt>
                <c:pt idx="3">
                  <c:v>3.0</c:v>
                </c:pt>
                <c:pt idx="4">
                  <c:v>18.0</c:v>
                </c:pt>
                <c:pt idx="5">
                  <c:v>10.0</c:v>
                </c:pt>
                <c:pt idx="6">
                  <c:v>9.0</c:v>
                </c:pt>
                <c:pt idx="7">
                  <c:v>2.0</c:v>
                </c:pt>
                <c:pt idx="8">
                  <c:v>2.0</c:v>
                </c:pt>
                <c:pt idx="9">
                  <c:v>1.0</c:v>
                </c:pt>
                <c:pt idx="10">
                  <c:v>1.0</c:v>
                </c:pt>
                <c:pt idx="11">
                  <c:v>0.0</c:v>
                </c:pt>
                <c:pt idx="12">
                  <c:v>0.0</c:v>
                </c:pt>
                <c:pt idx="13">
                  <c:v>2.0</c:v>
                </c:pt>
                <c:pt idx="14">
                  <c:v>0.0</c:v>
                </c:pt>
                <c:pt idx="15">
                  <c:v>0.0</c:v>
                </c:pt>
                <c:pt idx="16">
                  <c:v>1.0</c:v>
                </c:pt>
                <c:pt idx="17">
                  <c:v>0.0</c:v>
                </c:pt>
                <c:pt idx="18">
                  <c:v>1.0</c:v>
                </c:pt>
              </c:numCache>
            </c:numRef>
          </c:val>
        </c:ser>
        <c:dLbls>
          <c:showLegendKey val="0"/>
          <c:showVal val="0"/>
          <c:showCatName val="0"/>
          <c:showSerName val="0"/>
          <c:showPercent val="0"/>
          <c:showBubbleSize val="0"/>
        </c:dLbls>
        <c:gapWidth val="150"/>
        <c:axId val="761327896"/>
        <c:axId val="761311304"/>
      </c:barChart>
      <c:catAx>
        <c:axId val="761327896"/>
        <c:scaling>
          <c:orientation val="minMax"/>
        </c:scaling>
        <c:delete val="0"/>
        <c:axPos val="b"/>
        <c:title>
          <c:tx>
            <c:rich>
              <a:bodyPr/>
              <a:lstStyle/>
              <a:p>
                <a:pPr>
                  <a:defRPr b="0">
                    <a:latin typeface="Arial"/>
                    <a:cs typeface="Arial"/>
                  </a:defRPr>
                </a:pPr>
                <a:r>
                  <a:rPr lang="en-US" b="0">
                    <a:latin typeface="Arial"/>
                    <a:cs typeface="Arial"/>
                  </a:rPr>
                  <a:t>Reported</a:t>
                </a:r>
                <a:r>
                  <a:rPr lang="en-US" b="0" baseline="0">
                    <a:latin typeface="Arial"/>
                    <a:cs typeface="Arial"/>
                  </a:rPr>
                  <a:t> p</a:t>
                </a:r>
                <a:r>
                  <a:rPr lang="en-US" b="0">
                    <a:latin typeface="Arial"/>
                    <a:cs typeface="Arial"/>
                  </a:rPr>
                  <a:t>roperty impact</a:t>
                </a:r>
                <a:r>
                  <a:rPr lang="en-US" b="0" baseline="0">
                    <a:latin typeface="Arial"/>
                    <a:cs typeface="Arial"/>
                  </a:rPr>
                  <a:t> value</a:t>
                </a:r>
                <a:endParaRPr lang="en-US" b="0">
                  <a:latin typeface="Arial"/>
                  <a:cs typeface="Arial"/>
                </a:endParaRPr>
              </a:p>
            </c:rich>
          </c:tx>
          <c:layout/>
          <c:overlay val="0"/>
        </c:title>
        <c:majorTickMark val="out"/>
        <c:minorTickMark val="none"/>
        <c:tickLblPos val="nextTo"/>
        <c:crossAx val="761311304"/>
        <c:crosses val="autoZero"/>
        <c:auto val="1"/>
        <c:lblAlgn val="ctr"/>
        <c:lblOffset val="100"/>
        <c:noMultiLvlLbl val="0"/>
      </c:catAx>
      <c:valAx>
        <c:axId val="761311304"/>
        <c:scaling>
          <c:orientation val="minMax"/>
        </c:scaling>
        <c:delete val="0"/>
        <c:axPos val="l"/>
        <c:title>
          <c:tx>
            <c:rich>
              <a:bodyPr rot="-5400000" vert="horz"/>
              <a:lstStyle/>
              <a:p>
                <a:pPr>
                  <a:defRPr b="0">
                    <a:latin typeface="Arial"/>
                    <a:cs typeface="Arial"/>
                  </a:defRPr>
                </a:pPr>
                <a:r>
                  <a:rPr lang="en-US" b="0">
                    <a:latin typeface="Arial"/>
                    <a:cs typeface="Arial"/>
                  </a:rPr>
                  <a:t>Frequency</a:t>
                </a:r>
              </a:p>
            </c:rich>
          </c:tx>
          <c:layout/>
          <c:overlay val="0"/>
        </c:title>
        <c:numFmt formatCode="General" sourceLinked="1"/>
        <c:majorTickMark val="out"/>
        <c:minorTickMark val="none"/>
        <c:tickLblPos val="nextTo"/>
        <c:crossAx val="761327896"/>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97A2C-CF7A-3842-9D81-D48F38CF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7175</Words>
  <Characters>40901</Characters>
  <Application>Microsoft Macintosh Word</Application>
  <DocSecurity>0</DocSecurity>
  <Lines>340</Lines>
  <Paragraphs>95</Paragraphs>
  <ScaleCrop>false</ScaleCrop>
  <Company/>
  <LinksUpToDate>false</LinksUpToDate>
  <CharactersWithSpaces>47981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Baker</dc:creator>
  <cp:lastModifiedBy>Karl Baker</cp:lastModifiedBy>
  <cp:revision>7</cp:revision>
  <cp:lastPrinted>2015-08-27T03:18:00Z</cp:lastPrinted>
  <dcterms:created xsi:type="dcterms:W3CDTF">2015-08-27T03:18:00Z</dcterms:created>
  <dcterms:modified xsi:type="dcterms:W3CDTF">2015-08-27T03:46:00Z</dcterms:modified>
</cp:coreProperties>
</file>